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095F" w:rsidRDefault="002A095F" w:rsidP="002A095F">
      <w:pPr>
        <w:spacing w:line="480" w:lineRule="auto"/>
        <w:jc w:val="center"/>
        <w:rPr>
          <w:rFonts w:ascii="Times New Roman" w:hAnsi="Times New Roman" w:cs="Times New Roman"/>
          <w:sz w:val="24"/>
          <w:szCs w:val="24"/>
        </w:rPr>
      </w:pPr>
    </w:p>
    <w:p w:rsidR="002A095F" w:rsidRDefault="002A095F" w:rsidP="002A095F">
      <w:pPr>
        <w:spacing w:line="480" w:lineRule="auto"/>
        <w:jc w:val="center"/>
        <w:rPr>
          <w:rFonts w:ascii="Times New Roman" w:hAnsi="Times New Roman" w:cs="Times New Roman"/>
          <w:sz w:val="24"/>
          <w:szCs w:val="24"/>
        </w:rPr>
      </w:pPr>
    </w:p>
    <w:p w:rsidR="002A095F" w:rsidRDefault="002A095F" w:rsidP="002A095F">
      <w:pPr>
        <w:spacing w:line="480" w:lineRule="auto"/>
        <w:jc w:val="center"/>
        <w:rPr>
          <w:rFonts w:ascii="Times New Roman" w:hAnsi="Times New Roman" w:cs="Times New Roman"/>
          <w:sz w:val="24"/>
          <w:szCs w:val="24"/>
        </w:rPr>
      </w:pPr>
    </w:p>
    <w:p w:rsidR="002A095F" w:rsidRDefault="002A095F" w:rsidP="002A095F">
      <w:pPr>
        <w:spacing w:line="480" w:lineRule="auto"/>
        <w:jc w:val="center"/>
        <w:rPr>
          <w:rFonts w:ascii="Times New Roman" w:hAnsi="Times New Roman" w:cs="Times New Roman"/>
          <w:sz w:val="24"/>
          <w:szCs w:val="24"/>
        </w:rPr>
      </w:pPr>
    </w:p>
    <w:p w:rsidR="002A095F" w:rsidRDefault="003236E5" w:rsidP="002A095F">
      <w:pPr>
        <w:spacing w:line="480" w:lineRule="auto"/>
        <w:jc w:val="center"/>
        <w:rPr>
          <w:rFonts w:ascii="Times New Roman" w:hAnsi="Times New Roman" w:cs="Times New Roman"/>
          <w:sz w:val="24"/>
          <w:szCs w:val="24"/>
        </w:rPr>
      </w:pPr>
      <w:r w:rsidRPr="003236E5">
        <w:rPr>
          <w:rFonts w:ascii="Times New Roman" w:hAnsi="Times New Roman" w:cs="Times New Roman"/>
          <w:sz w:val="24"/>
          <w:szCs w:val="24"/>
        </w:rPr>
        <w:t>Approach to Healthcare Reform</w:t>
      </w:r>
    </w:p>
    <w:p w:rsidR="002A095F" w:rsidRDefault="009029A9" w:rsidP="002A095F">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9029A9" w:rsidRPr="003236E5" w:rsidRDefault="009029A9" w:rsidP="002A095F">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Institutional Affiliation</w:t>
      </w:r>
    </w:p>
    <w:p w:rsidR="00213C15" w:rsidRPr="003236E5" w:rsidRDefault="00213C15" w:rsidP="003236E5">
      <w:pPr>
        <w:spacing w:line="480" w:lineRule="auto"/>
        <w:ind w:firstLine="720"/>
        <w:jc w:val="center"/>
        <w:rPr>
          <w:rFonts w:ascii="Times New Roman" w:hAnsi="Times New Roman" w:cs="Times New Roman"/>
          <w:sz w:val="24"/>
          <w:szCs w:val="24"/>
        </w:rPr>
      </w:pPr>
    </w:p>
    <w:p w:rsidR="00213C15" w:rsidRPr="003236E5" w:rsidRDefault="00213C15" w:rsidP="003236E5">
      <w:pPr>
        <w:spacing w:line="480" w:lineRule="auto"/>
        <w:ind w:firstLine="720"/>
        <w:jc w:val="center"/>
        <w:rPr>
          <w:rFonts w:ascii="Times New Roman" w:hAnsi="Times New Roman" w:cs="Times New Roman"/>
          <w:sz w:val="24"/>
          <w:szCs w:val="24"/>
        </w:rPr>
      </w:pPr>
    </w:p>
    <w:p w:rsidR="00213C15" w:rsidRPr="003236E5" w:rsidRDefault="00213C15" w:rsidP="003236E5">
      <w:pPr>
        <w:spacing w:line="480" w:lineRule="auto"/>
        <w:ind w:firstLine="720"/>
        <w:jc w:val="center"/>
        <w:rPr>
          <w:rFonts w:ascii="Times New Roman" w:hAnsi="Times New Roman" w:cs="Times New Roman"/>
          <w:sz w:val="24"/>
          <w:szCs w:val="24"/>
        </w:rPr>
      </w:pPr>
    </w:p>
    <w:p w:rsidR="00213C15" w:rsidRPr="003236E5" w:rsidRDefault="00213C15" w:rsidP="003236E5">
      <w:pPr>
        <w:spacing w:line="480" w:lineRule="auto"/>
        <w:ind w:firstLine="720"/>
        <w:rPr>
          <w:rFonts w:ascii="Times New Roman" w:hAnsi="Times New Roman" w:cs="Times New Roman"/>
          <w:sz w:val="24"/>
          <w:szCs w:val="24"/>
        </w:rPr>
      </w:pPr>
    </w:p>
    <w:p w:rsidR="00213C15" w:rsidRPr="003236E5" w:rsidRDefault="00213C15" w:rsidP="003236E5">
      <w:pPr>
        <w:spacing w:line="480" w:lineRule="auto"/>
        <w:ind w:firstLine="720"/>
        <w:rPr>
          <w:rFonts w:ascii="Times New Roman" w:hAnsi="Times New Roman" w:cs="Times New Roman"/>
          <w:sz w:val="24"/>
          <w:szCs w:val="24"/>
        </w:rPr>
      </w:pPr>
    </w:p>
    <w:p w:rsidR="003F735A" w:rsidRPr="003236E5" w:rsidRDefault="003F735A" w:rsidP="003236E5">
      <w:pPr>
        <w:spacing w:line="480" w:lineRule="auto"/>
        <w:ind w:firstLine="720"/>
        <w:rPr>
          <w:rFonts w:ascii="Times New Roman" w:hAnsi="Times New Roman" w:cs="Times New Roman"/>
          <w:sz w:val="24"/>
          <w:szCs w:val="24"/>
        </w:rPr>
      </w:pPr>
    </w:p>
    <w:p w:rsidR="003236E5" w:rsidRDefault="003236E5" w:rsidP="009029A9">
      <w:pPr>
        <w:spacing w:line="480" w:lineRule="auto"/>
        <w:rPr>
          <w:rFonts w:ascii="Times New Roman" w:hAnsi="Times New Roman" w:cs="Times New Roman"/>
          <w:sz w:val="24"/>
          <w:szCs w:val="24"/>
        </w:rPr>
      </w:pPr>
    </w:p>
    <w:p w:rsidR="002A095F" w:rsidRDefault="002A095F">
      <w:pPr>
        <w:rPr>
          <w:rFonts w:ascii="Times New Roman" w:hAnsi="Times New Roman" w:cs="Times New Roman"/>
          <w:b/>
          <w:sz w:val="24"/>
          <w:szCs w:val="24"/>
        </w:rPr>
      </w:pPr>
      <w:r>
        <w:rPr>
          <w:rFonts w:ascii="Times New Roman" w:hAnsi="Times New Roman" w:cs="Times New Roman"/>
          <w:b/>
          <w:sz w:val="24"/>
          <w:szCs w:val="24"/>
        </w:rPr>
        <w:br w:type="page"/>
      </w:r>
    </w:p>
    <w:p w:rsidR="003236E5" w:rsidRPr="002A095F" w:rsidRDefault="00F14E35" w:rsidP="00EF73C1">
      <w:pPr>
        <w:spacing w:line="480" w:lineRule="auto"/>
        <w:jc w:val="center"/>
        <w:rPr>
          <w:rFonts w:ascii="Times New Roman" w:hAnsi="Times New Roman" w:cs="Times New Roman"/>
          <w:b/>
          <w:sz w:val="24"/>
          <w:szCs w:val="24"/>
        </w:rPr>
      </w:pPr>
      <w:r>
        <w:rPr>
          <w:rFonts w:ascii="Times New Roman" w:hAnsi="Times New Roman" w:cs="Times New Roman"/>
          <w:b/>
          <w:sz w:val="24"/>
          <w:szCs w:val="24"/>
        </w:rPr>
        <w:t>Healthcare Reform Plan</w:t>
      </w:r>
      <w:bookmarkStart w:id="0" w:name="_GoBack"/>
      <w:bookmarkEnd w:id="0"/>
    </w:p>
    <w:p w:rsidR="003236E5" w:rsidRPr="003236E5" w:rsidRDefault="003236E5" w:rsidP="003236E5">
      <w:pPr>
        <w:spacing w:line="480" w:lineRule="auto"/>
        <w:ind w:firstLine="720"/>
        <w:rPr>
          <w:rFonts w:ascii="Times New Roman" w:hAnsi="Times New Roman" w:cs="Times New Roman"/>
          <w:sz w:val="24"/>
          <w:szCs w:val="24"/>
        </w:rPr>
      </w:pPr>
      <w:r w:rsidRPr="003236E5">
        <w:rPr>
          <w:rFonts w:ascii="Times New Roman" w:hAnsi="Times New Roman" w:cs="Times New Roman"/>
          <w:sz w:val="24"/>
          <w:szCs w:val="24"/>
        </w:rPr>
        <w:t xml:space="preserve">Given the opportunity to establish new healthcare reforms in the States, various aspects </w:t>
      </w:r>
      <w:r>
        <w:rPr>
          <w:rFonts w:ascii="Times New Roman" w:hAnsi="Times New Roman" w:cs="Times New Roman"/>
          <w:sz w:val="24"/>
          <w:szCs w:val="24"/>
        </w:rPr>
        <w:t>n</w:t>
      </w:r>
      <w:r w:rsidRPr="003236E5">
        <w:rPr>
          <w:rFonts w:ascii="Times New Roman" w:hAnsi="Times New Roman" w:cs="Times New Roman"/>
          <w:sz w:val="24"/>
          <w:szCs w:val="24"/>
        </w:rPr>
        <w:t>eed to be considered. For instance, the issue of high-cost healthcare services. Ideal</w:t>
      </w:r>
      <w:r>
        <w:rPr>
          <w:rFonts w:ascii="Times New Roman" w:hAnsi="Times New Roman" w:cs="Times New Roman"/>
          <w:sz w:val="24"/>
          <w:szCs w:val="24"/>
        </w:rPr>
        <w:t>ly, care services are considered a human right</w:t>
      </w:r>
      <w:r w:rsidRPr="003236E5">
        <w:rPr>
          <w:rFonts w:ascii="Times New Roman" w:hAnsi="Times New Roman" w:cs="Times New Roman"/>
          <w:sz w:val="24"/>
          <w:szCs w:val="24"/>
        </w:rPr>
        <w:t>. Meaning every person must have access to quality services. However, millions of individuals across the United States and the world cannot access quality services on time. Thus raising the need to close high-cost gaps and making sure that all individuals have access to care.</w:t>
      </w:r>
      <w:r>
        <w:rPr>
          <w:rFonts w:ascii="Times New Roman" w:hAnsi="Times New Roman" w:cs="Times New Roman"/>
          <w:sz w:val="24"/>
          <w:szCs w:val="24"/>
        </w:rPr>
        <w:t xml:space="preserve"> the main reason being high cost of care. </w:t>
      </w:r>
      <w:r w:rsidRPr="003236E5">
        <w:rPr>
          <w:rFonts w:ascii="Times New Roman" w:hAnsi="Times New Roman" w:cs="Times New Roman"/>
          <w:sz w:val="24"/>
          <w:szCs w:val="24"/>
        </w:rPr>
        <w:t xml:space="preserve">Additionally, statistics indicate that 8.5% of people in the US could not access healthcare services in 2019. Relatively, the number of uninsured people in the States has been on the increase since 2015. Even though the government has made progress in mitigating the challenges, </w:t>
      </w:r>
      <w:r>
        <w:rPr>
          <w:rFonts w:ascii="Times New Roman" w:hAnsi="Times New Roman" w:cs="Times New Roman"/>
          <w:sz w:val="24"/>
          <w:szCs w:val="24"/>
        </w:rPr>
        <w:t>the number of uninsured people is</w:t>
      </w:r>
      <w:r w:rsidRPr="003236E5">
        <w:rPr>
          <w:rFonts w:ascii="Times New Roman" w:hAnsi="Times New Roman" w:cs="Times New Roman"/>
          <w:sz w:val="24"/>
          <w:szCs w:val="24"/>
        </w:rPr>
        <w:t xml:space="preserve"> still an underlying challenge. Furthermore, the number of people who have Medicaid coverage has also declined while uninsured ind</w:t>
      </w:r>
      <w:r>
        <w:rPr>
          <w:rFonts w:ascii="Times New Roman" w:hAnsi="Times New Roman" w:cs="Times New Roman"/>
          <w:sz w:val="24"/>
          <w:szCs w:val="24"/>
        </w:rPr>
        <w:t>ividuals have risen by at least 1</w:t>
      </w:r>
      <w:r w:rsidRPr="003236E5">
        <w:rPr>
          <w:rFonts w:ascii="Times New Roman" w:hAnsi="Times New Roman" w:cs="Times New Roman"/>
          <w:sz w:val="24"/>
          <w:szCs w:val="24"/>
        </w:rPr>
        <w:t xml:space="preserve">0.7%. Therefore, there is a need to develop a healthcare reform to aid the high cost of healthcare services in the United States. </w:t>
      </w:r>
    </w:p>
    <w:p w:rsidR="003236E5" w:rsidRPr="003236E5" w:rsidRDefault="003236E5" w:rsidP="004C3215">
      <w:pPr>
        <w:spacing w:line="480" w:lineRule="auto"/>
        <w:jc w:val="center"/>
        <w:rPr>
          <w:rFonts w:ascii="Times New Roman" w:hAnsi="Times New Roman" w:cs="Times New Roman"/>
          <w:b/>
          <w:sz w:val="24"/>
          <w:szCs w:val="24"/>
        </w:rPr>
      </w:pPr>
      <w:r w:rsidRPr="003236E5">
        <w:rPr>
          <w:rFonts w:ascii="Times New Roman" w:hAnsi="Times New Roman" w:cs="Times New Roman"/>
          <w:b/>
          <w:sz w:val="24"/>
          <w:szCs w:val="24"/>
        </w:rPr>
        <w:t>Existing Conflicts Between State and Federal Policies</w:t>
      </w:r>
    </w:p>
    <w:p w:rsidR="003236E5" w:rsidRPr="003236E5" w:rsidRDefault="003236E5" w:rsidP="003236E5">
      <w:pPr>
        <w:spacing w:line="480" w:lineRule="auto"/>
        <w:ind w:firstLine="720"/>
        <w:rPr>
          <w:rFonts w:ascii="Times New Roman" w:hAnsi="Times New Roman" w:cs="Times New Roman"/>
          <w:sz w:val="24"/>
          <w:szCs w:val="24"/>
        </w:rPr>
      </w:pPr>
      <w:r w:rsidRPr="003236E5">
        <w:rPr>
          <w:rFonts w:ascii="Times New Roman" w:hAnsi="Times New Roman" w:cs="Times New Roman"/>
          <w:sz w:val="24"/>
          <w:szCs w:val="24"/>
        </w:rPr>
        <w:t xml:space="preserve">The main aim of the federal government in the US is to make sure that all citizens have access to quality healthcare services. Notably, the government implements different approaches such as the Affordable Care Act (ACA) in widening care access among citizens. Additional approaches like Medicaid and Medicare are also considered. On the other hand, state policies </w:t>
      </w:r>
      <w:r w:rsidRPr="003236E5">
        <w:rPr>
          <w:rFonts w:ascii="Times New Roman" w:hAnsi="Times New Roman" w:cs="Times New Roman"/>
          <w:sz w:val="24"/>
          <w:szCs w:val="24"/>
        </w:rPr>
        <w:lastRenderedPageBreak/>
        <w:t xml:space="preserve">also include valid healthcare approaches. Besides, every government level has its platform in developing and implementing healthcare policies. Therefore, conflicts arise when the government distributes resources and establishes policies that govern the government's policy-making process. Take, for instance, the Medicaid program in different state governments. Every state has its opinion regarding expanding the Medicaid program, thus enabling disparities among the two government levels. Another conflict is taxation variation among the federal and state governments. Notably, some states use tax revolt where they advocate for reduced taxation. Additionally, constitutional individual coverage requirements are also different among the two governments levels. </w:t>
      </w:r>
    </w:p>
    <w:p w:rsidR="003236E5" w:rsidRPr="003236E5" w:rsidRDefault="003236E5" w:rsidP="003236E5">
      <w:pPr>
        <w:spacing w:line="480" w:lineRule="auto"/>
        <w:ind w:firstLine="720"/>
        <w:rPr>
          <w:rFonts w:ascii="Times New Roman" w:hAnsi="Times New Roman" w:cs="Times New Roman"/>
          <w:sz w:val="24"/>
          <w:szCs w:val="24"/>
        </w:rPr>
      </w:pPr>
      <w:r w:rsidRPr="003236E5">
        <w:rPr>
          <w:rFonts w:ascii="Times New Roman" w:hAnsi="Times New Roman" w:cs="Times New Roman"/>
          <w:sz w:val="24"/>
          <w:szCs w:val="24"/>
        </w:rPr>
        <w:t xml:space="preserve">State and Federal policies regarding the healthcare systems and financial aid also conflict—the main reason being that governments have more power in the distribution of resources among states. However, the states have established claims stating that they need to be given significant and powerful roles in the general healthcare system. Additionally, the finances channeled towards the healthcare sector, and federal governments need to be enhanced. Also, conflicts are observed in the implementation of various policies. Whereby the state government fails to obtain consent from the federal government. Besides, all policies regarding amends and changes in healthcare laws need to be done by the participation of both governments. </w:t>
      </w:r>
    </w:p>
    <w:p w:rsidR="003236E5" w:rsidRPr="003236E5" w:rsidRDefault="003236E5" w:rsidP="003236E5">
      <w:pPr>
        <w:spacing w:line="480" w:lineRule="auto"/>
        <w:jc w:val="center"/>
        <w:rPr>
          <w:rFonts w:ascii="Times New Roman" w:hAnsi="Times New Roman" w:cs="Times New Roman"/>
          <w:b/>
          <w:sz w:val="24"/>
          <w:szCs w:val="24"/>
        </w:rPr>
      </w:pPr>
      <w:r w:rsidRPr="003236E5">
        <w:rPr>
          <w:rFonts w:ascii="Times New Roman" w:hAnsi="Times New Roman" w:cs="Times New Roman"/>
          <w:b/>
          <w:sz w:val="24"/>
          <w:szCs w:val="24"/>
        </w:rPr>
        <w:t>Standard Care Approach</w:t>
      </w:r>
    </w:p>
    <w:p w:rsidR="003236E5" w:rsidRDefault="003236E5" w:rsidP="003236E5">
      <w:pPr>
        <w:spacing w:line="480" w:lineRule="auto"/>
        <w:ind w:firstLine="720"/>
        <w:rPr>
          <w:rFonts w:ascii="Times New Roman" w:hAnsi="Times New Roman" w:cs="Times New Roman"/>
          <w:sz w:val="24"/>
          <w:szCs w:val="24"/>
        </w:rPr>
      </w:pPr>
      <w:r w:rsidRPr="003236E5">
        <w:rPr>
          <w:rFonts w:ascii="Times New Roman" w:hAnsi="Times New Roman" w:cs="Times New Roman"/>
          <w:sz w:val="24"/>
          <w:szCs w:val="24"/>
        </w:rPr>
        <w:t xml:space="preserve">The Standard Care approach is proper and acceptable treatment. A treatment guideline based on collaboration between healthcare providers and scientific evidence in attending to a specific medical condition. Besides, according to Daunt (2014), the standard care approach is identified as the type and level of care a skilled medical professional provides. </w:t>
      </w:r>
      <w:r w:rsidR="004C3215">
        <w:rPr>
          <w:rFonts w:ascii="Times New Roman" w:hAnsi="Times New Roman" w:cs="Times New Roman"/>
          <w:sz w:val="24"/>
          <w:szCs w:val="24"/>
        </w:rPr>
        <w:t>Additionally,</w:t>
      </w:r>
      <w:r>
        <w:rPr>
          <w:rFonts w:ascii="Times New Roman" w:hAnsi="Times New Roman" w:cs="Times New Roman"/>
          <w:sz w:val="24"/>
          <w:szCs w:val="24"/>
        </w:rPr>
        <w:t xml:space="preserve"> standard approaches act as a foundation of how nurses are expected to act by outlining that which they are to do or not while administering their services to patients. An example of standard care is where a cancer patient included in recommendation regarding surgery or chemotherapy. Generally, upholding these standards increases patient’s satisfaction levels by marinating quality care services. </w:t>
      </w:r>
    </w:p>
    <w:p w:rsidR="003236E5" w:rsidRPr="003236E5" w:rsidRDefault="003236E5" w:rsidP="003236E5">
      <w:pPr>
        <w:spacing w:line="480" w:lineRule="auto"/>
        <w:ind w:firstLine="720"/>
        <w:rPr>
          <w:rFonts w:ascii="Times New Roman" w:hAnsi="Times New Roman" w:cs="Times New Roman"/>
          <w:sz w:val="24"/>
          <w:szCs w:val="24"/>
        </w:rPr>
      </w:pPr>
      <w:r w:rsidRPr="003236E5">
        <w:rPr>
          <w:rFonts w:ascii="Times New Roman" w:hAnsi="Times New Roman" w:cs="Times New Roman"/>
          <w:sz w:val="24"/>
          <w:szCs w:val="24"/>
        </w:rPr>
        <w:t xml:space="preserve">The standard care approach is crucial in providing quality services to patients. Also, there are legal consequences faced by healthcare professionals, organizations, hospitals in case of negligence or </w:t>
      </w:r>
      <w:r w:rsidR="009029A9" w:rsidRPr="003236E5">
        <w:rPr>
          <w:rFonts w:ascii="Times New Roman" w:hAnsi="Times New Roman" w:cs="Times New Roman"/>
          <w:sz w:val="24"/>
          <w:szCs w:val="24"/>
        </w:rPr>
        <w:t>malpractice.</w:t>
      </w:r>
      <w:r w:rsidRPr="003236E5">
        <w:rPr>
          <w:rFonts w:ascii="Times New Roman" w:hAnsi="Times New Roman" w:cs="Times New Roman"/>
          <w:sz w:val="24"/>
          <w:szCs w:val="24"/>
        </w:rPr>
        <w:t xml:space="preserve"> Thus, the provision of tort liability is not an easy task. However, the incorporation of the approach is still complicated in the specific sector of healthcare. This is because any patient seeking to issue complaints regarding a service provider or care organization for malpractice or negligence will have to gather substantial evidence. For instance, the evidence needs to indicate a breach of standard care, measurable damages, and standard defiant breach. Also, the link between injury and the defiant breach must be brought forward, following the stated requirements. It is almost impossible for an injured service user to obtain monetary damages from a negligent service provider. Additionally, the patient is expected to identify another doctor willing to testify in the case. </w:t>
      </w:r>
    </w:p>
    <w:p w:rsidR="003236E5" w:rsidRPr="003236E5" w:rsidRDefault="003236E5" w:rsidP="003236E5">
      <w:pPr>
        <w:spacing w:line="480" w:lineRule="auto"/>
        <w:ind w:firstLine="720"/>
        <w:rPr>
          <w:rFonts w:ascii="Times New Roman" w:hAnsi="Times New Roman" w:cs="Times New Roman"/>
          <w:sz w:val="24"/>
          <w:szCs w:val="24"/>
        </w:rPr>
      </w:pPr>
      <w:r w:rsidRPr="003236E5">
        <w:rPr>
          <w:rFonts w:ascii="Times New Roman" w:hAnsi="Times New Roman" w:cs="Times New Roman"/>
          <w:sz w:val="24"/>
          <w:szCs w:val="24"/>
        </w:rPr>
        <w:t xml:space="preserve">Following the approach, the law is integrated to monitor the type of healthcare present in the system. Ideally, the process helps eradicate healthcare professionals who are not competent, thus reducing the rate of medical errors. Additionally, the approach allows healthcare professionals to care for patients in three key areas. Namely, spirituality, nutrition and family support areas. This is because after service providers access their licenses, they are still analyzed afresh to determine their expertise level. Besides, holding the professionals liable for poor services helps in the promotion of better healthcare services. However, when medical practitioners have inadequate knowledge regarding the patient's situation, they shouldn't administer care except under a challenging or limited situation. Generally, it is crucial for medical providers to establish a crucial patient relationship before rendering their services. </w:t>
      </w:r>
    </w:p>
    <w:p w:rsidR="003236E5" w:rsidRPr="003236E5" w:rsidRDefault="003236E5" w:rsidP="003236E5">
      <w:pPr>
        <w:spacing w:line="480" w:lineRule="auto"/>
        <w:ind w:firstLine="720"/>
        <w:rPr>
          <w:rFonts w:ascii="Times New Roman" w:hAnsi="Times New Roman" w:cs="Times New Roman"/>
          <w:sz w:val="24"/>
          <w:szCs w:val="24"/>
        </w:rPr>
      </w:pPr>
      <w:r w:rsidRPr="003236E5">
        <w:rPr>
          <w:rFonts w:ascii="Times New Roman" w:hAnsi="Times New Roman" w:cs="Times New Roman"/>
          <w:sz w:val="24"/>
          <w:szCs w:val="24"/>
        </w:rPr>
        <w:t>The proposed care reform happens to be a professional standard made up of legal standards used to address medical negligence cases. The reform helps in determining healthcare professional’s entities, as stated by Gougen (2019). However, this only applies when care providers discharge their delegated responsibilities to the patients as required. Therefore, failure to establish the approach will incur legal liabilities for possible deaths and foreseen injuries.</w:t>
      </w:r>
    </w:p>
    <w:p w:rsidR="003236E5" w:rsidRPr="003236E5" w:rsidRDefault="003236E5" w:rsidP="003236E5">
      <w:pPr>
        <w:spacing w:line="480" w:lineRule="auto"/>
        <w:ind w:firstLine="720"/>
        <w:rPr>
          <w:rFonts w:ascii="Times New Roman" w:hAnsi="Times New Roman" w:cs="Times New Roman"/>
          <w:sz w:val="24"/>
          <w:szCs w:val="24"/>
        </w:rPr>
      </w:pPr>
      <w:r w:rsidRPr="003236E5">
        <w:rPr>
          <w:rFonts w:ascii="Times New Roman" w:hAnsi="Times New Roman" w:cs="Times New Roman"/>
          <w:sz w:val="24"/>
          <w:szCs w:val="24"/>
        </w:rPr>
        <w:t xml:space="preserve">The key application of the standard care approach is based on private and public healthcare entities. Recent policymakers have altered their focus to medical reforms that are more concerned with preventing medical errors and enhancing patient safety, which is the key objective of this reform. Besides, when such challenges are reduced, healthcare providers will establish a significant patient relationship. Furthermore, the approach will also assist in carrying out the needed support regardless of spirituality, nutrition or family-based. Generally, the main objective of the reform is to design a care delivery method and develop structures that will reduce medical errors and enhance patient safety. </w:t>
      </w:r>
    </w:p>
    <w:p w:rsidR="003236E5" w:rsidRPr="003236E5" w:rsidRDefault="003236E5" w:rsidP="009029A9">
      <w:pPr>
        <w:spacing w:line="480" w:lineRule="auto"/>
        <w:jc w:val="center"/>
        <w:rPr>
          <w:rFonts w:ascii="Times New Roman" w:hAnsi="Times New Roman" w:cs="Times New Roman"/>
          <w:b/>
          <w:sz w:val="24"/>
          <w:szCs w:val="24"/>
        </w:rPr>
      </w:pPr>
      <w:r w:rsidRPr="003236E5">
        <w:rPr>
          <w:rFonts w:ascii="Times New Roman" w:hAnsi="Times New Roman" w:cs="Times New Roman"/>
          <w:b/>
          <w:sz w:val="24"/>
          <w:szCs w:val="24"/>
        </w:rPr>
        <w:t>Public Health Preparedness</w:t>
      </w:r>
    </w:p>
    <w:p w:rsidR="003236E5" w:rsidRPr="003236E5" w:rsidRDefault="003236E5" w:rsidP="003236E5">
      <w:pPr>
        <w:spacing w:line="480" w:lineRule="auto"/>
        <w:ind w:firstLine="720"/>
        <w:rPr>
          <w:rFonts w:ascii="Times New Roman" w:hAnsi="Times New Roman" w:cs="Times New Roman"/>
          <w:sz w:val="24"/>
          <w:szCs w:val="24"/>
        </w:rPr>
      </w:pPr>
      <w:r w:rsidRPr="003236E5">
        <w:rPr>
          <w:rFonts w:ascii="Times New Roman" w:hAnsi="Times New Roman" w:cs="Times New Roman"/>
          <w:sz w:val="24"/>
          <w:szCs w:val="24"/>
        </w:rPr>
        <w:t>Public health preparedness(PHEP) is the ability of healthcare communities, organizations and individuals to prevent harm. Besides, forming such collaborations make it easier for organizations to recover in case of emergencies. In this regard, healthcare reforms require the active participation of the community, patients and organizations. The proposed reform helps in establishing public health preparedness in different ways. For instance, the approach increases access to healthcare services.</w:t>
      </w:r>
    </w:p>
    <w:p w:rsidR="003236E5" w:rsidRPr="003236E5" w:rsidRDefault="003236E5" w:rsidP="003236E5">
      <w:pPr>
        <w:spacing w:line="480" w:lineRule="auto"/>
        <w:ind w:firstLine="720"/>
        <w:rPr>
          <w:rFonts w:ascii="Times New Roman" w:hAnsi="Times New Roman" w:cs="Times New Roman"/>
          <w:sz w:val="24"/>
          <w:szCs w:val="24"/>
        </w:rPr>
      </w:pPr>
      <w:r w:rsidRPr="003236E5">
        <w:rPr>
          <w:rFonts w:ascii="Times New Roman" w:hAnsi="Times New Roman" w:cs="Times New Roman"/>
          <w:sz w:val="24"/>
          <w:szCs w:val="24"/>
        </w:rPr>
        <w:t xml:space="preserve">Furthermore, under the reform, all individuals all service providers will access care based on their needs. The medical error reform is made up of different approaches. They include enhancing the standardization of medical-based procedures, encouraging patient participation during care, and improving information </w:t>
      </w:r>
      <w:r w:rsidR="004C3215">
        <w:rPr>
          <w:rFonts w:ascii="Times New Roman" w:hAnsi="Times New Roman" w:cs="Times New Roman"/>
          <w:sz w:val="24"/>
          <w:szCs w:val="24"/>
        </w:rPr>
        <w:t>technology systems used in care</w:t>
      </w:r>
      <w:r w:rsidRPr="003236E5">
        <w:rPr>
          <w:rFonts w:ascii="Times New Roman" w:hAnsi="Times New Roman" w:cs="Times New Roman"/>
          <w:sz w:val="24"/>
          <w:szCs w:val="24"/>
        </w:rPr>
        <w:t xml:space="preserve"> (Berchick et al., 2019). The proposed reform will ensure preparedness by establishing a national focus channeled towards the safety of the patients. </w:t>
      </w:r>
    </w:p>
    <w:p w:rsidR="003236E5" w:rsidRPr="003236E5" w:rsidRDefault="003236E5" w:rsidP="009029A9">
      <w:pPr>
        <w:spacing w:line="480" w:lineRule="auto"/>
        <w:jc w:val="center"/>
        <w:rPr>
          <w:rFonts w:ascii="Times New Roman" w:hAnsi="Times New Roman" w:cs="Times New Roman"/>
          <w:b/>
          <w:sz w:val="24"/>
          <w:szCs w:val="24"/>
        </w:rPr>
      </w:pPr>
      <w:r w:rsidRPr="003236E5">
        <w:rPr>
          <w:rFonts w:ascii="Times New Roman" w:hAnsi="Times New Roman" w:cs="Times New Roman"/>
          <w:b/>
          <w:sz w:val="24"/>
          <w:szCs w:val="24"/>
        </w:rPr>
        <w:t>Gross Domestic Product</w:t>
      </w:r>
    </w:p>
    <w:p w:rsidR="003236E5" w:rsidRPr="003236E5" w:rsidRDefault="003236E5" w:rsidP="003236E5">
      <w:pPr>
        <w:spacing w:line="480" w:lineRule="auto"/>
        <w:ind w:firstLine="720"/>
        <w:rPr>
          <w:rFonts w:ascii="Times New Roman" w:hAnsi="Times New Roman" w:cs="Times New Roman"/>
          <w:sz w:val="24"/>
          <w:szCs w:val="24"/>
        </w:rPr>
      </w:pPr>
      <w:r w:rsidRPr="003236E5">
        <w:rPr>
          <w:rFonts w:ascii="Times New Roman" w:hAnsi="Times New Roman" w:cs="Times New Roman"/>
          <w:sz w:val="24"/>
          <w:szCs w:val="24"/>
        </w:rPr>
        <w:t xml:space="preserve">The United States spent at least 17.8% of its total gross domestic product on healthcare products and services in 2016.  notably, the average expenditure amongst nations with a high-level income was estimated to be 11.5% of the total gross domestic product. However, the US spends at least 3.3. trillion dollars on healthcare alone. The figure estimates about ten thousand three hundred and forty-eight dollars per person (Papanicolas et al., 2018). This makes up a total of 17.9% of the total gross domestic product in the nation. </w:t>
      </w:r>
    </w:p>
    <w:p w:rsidR="003236E5" w:rsidRPr="003236E5" w:rsidRDefault="003236E5" w:rsidP="009029A9">
      <w:pPr>
        <w:spacing w:line="480" w:lineRule="auto"/>
        <w:ind w:firstLine="720"/>
        <w:rPr>
          <w:rFonts w:ascii="Times New Roman" w:hAnsi="Times New Roman" w:cs="Times New Roman"/>
          <w:sz w:val="24"/>
          <w:szCs w:val="24"/>
        </w:rPr>
      </w:pPr>
      <w:r w:rsidRPr="003236E5">
        <w:rPr>
          <w:rFonts w:ascii="Times New Roman" w:hAnsi="Times New Roman" w:cs="Times New Roman"/>
          <w:sz w:val="24"/>
          <w:szCs w:val="24"/>
        </w:rPr>
        <w:t xml:space="preserve">In the State, Gross Domestic Product(GDP) for healthcare is set aside for different purposes. For instance, due to the increase in the number of uninsured people in the United States, there is a rise in the amount of money channeled towards healthcare coverage. In turn, this means that the overall GDP is most likely to rise. In this regard, the proposed gross domestic product will increase to assists the overall individual expenditure from 10,348 dollars to 21,000 dollars per individual. This is about 35% of the total gross domestic product in the healthcare sector. Additionally, the average expenditure amongst the nations will increase by an estimate of 55. Therefore, this makes a total of 15.5% spending of the gross domestic product. </w:t>
      </w:r>
    </w:p>
    <w:p w:rsidR="003236E5" w:rsidRPr="003236E5" w:rsidRDefault="003236E5" w:rsidP="003236E5">
      <w:pPr>
        <w:spacing w:line="480" w:lineRule="auto"/>
        <w:ind w:firstLine="720"/>
        <w:rPr>
          <w:rFonts w:ascii="Times New Roman" w:hAnsi="Times New Roman" w:cs="Times New Roman"/>
          <w:sz w:val="24"/>
          <w:szCs w:val="24"/>
        </w:rPr>
      </w:pPr>
    </w:p>
    <w:p w:rsidR="004C3215" w:rsidRDefault="004C3215">
      <w:pPr>
        <w:rPr>
          <w:rFonts w:ascii="Times New Roman" w:hAnsi="Times New Roman" w:cs="Times New Roman"/>
          <w:b/>
          <w:sz w:val="24"/>
          <w:szCs w:val="24"/>
        </w:rPr>
      </w:pPr>
      <w:r>
        <w:rPr>
          <w:rFonts w:ascii="Times New Roman" w:hAnsi="Times New Roman" w:cs="Times New Roman"/>
          <w:b/>
          <w:sz w:val="24"/>
          <w:szCs w:val="24"/>
        </w:rPr>
        <w:br w:type="page"/>
      </w:r>
    </w:p>
    <w:p w:rsidR="003236E5" w:rsidRPr="009029A9" w:rsidRDefault="003236E5" w:rsidP="004C3215">
      <w:pPr>
        <w:spacing w:line="480" w:lineRule="auto"/>
        <w:jc w:val="center"/>
        <w:rPr>
          <w:rFonts w:ascii="Times New Roman" w:hAnsi="Times New Roman" w:cs="Times New Roman"/>
          <w:b/>
          <w:sz w:val="24"/>
          <w:szCs w:val="24"/>
        </w:rPr>
      </w:pPr>
      <w:r w:rsidRPr="009029A9">
        <w:rPr>
          <w:rFonts w:ascii="Times New Roman" w:hAnsi="Times New Roman" w:cs="Times New Roman"/>
          <w:b/>
          <w:sz w:val="24"/>
          <w:szCs w:val="24"/>
        </w:rPr>
        <w:t>References</w:t>
      </w:r>
    </w:p>
    <w:p w:rsidR="003236E5" w:rsidRPr="003236E5" w:rsidRDefault="003236E5" w:rsidP="009029A9">
      <w:pPr>
        <w:spacing w:line="480" w:lineRule="auto"/>
        <w:ind w:left="720" w:hanging="720"/>
        <w:rPr>
          <w:rFonts w:ascii="Times New Roman" w:hAnsi="Times New Roman" w:cs="Times New Roman"/>
          <w:sz w:val="24"/>
          <w:szCs w:val="24"/>
        </w:rPr>
      </w:pPr>
      <w:r w:rsidRPr="003236E5">
        <w:rPr>
          <w:rFonts w:ascii="Times New Roman" w:hAnsi="Times New Roman" w:cs="Times New Roman"/>
          <w:sz w:val="24"/>
          <w:szCs w:val="24"/>
        </w:rPr>
        <w:t>Berchick, E. R., Hood, E., &amp; Barnett, J. C. (2018). Health insurance coverage in the United States: 2017. Current population reports. Washington DC: US Government Printing Office.</w:t>
      </w:r>
    </w:p>
    <w:p w:rsidR="003236E5" w:rsidRPr="003236E5" w:rsidRDefault="003236E5" w:rsidP="009029A9">
      <w:pPr>
        <w:spacing w:line="480" w:lineRule="auto"/>
        <w:ind w:left="720" w:hanging="720"/>
        <w:rPr>
          <w:rFonts w:ascii="Times New Roman" w:hAnsi="Times New Roman" w:cs="Times New Roman"/>
          <w:sz w:val="24"/>
          <w:szCs w:val="24"/>
        </w:rPr>
      </w:pPr>
      <w:r w:rsidRPr="003236E5">
        <w:rPr>
          <w:rFonts w:ascii="Times New Roman" w:hAnsi="Times New Roman" w:cs="Times New Roman"/>
          <w:sz w:val="24"/>
          <w:szCs w:val="24"/>
        </w:rPr>
        <w:t xml:space="preserve"> Daunt, L. (2014). State vs. federal law: Who holds the trump card. Huffington Post, 28. </w:t>
      </w:r>
    </w:p>
    <w:p w:rsidR="003236E5" w:rsidRPr="003236E5" w:rsidRDefault="003236E5" w:rsidP="009029A9">
      <w:pPr>
        <w:spacing w:line="480" w:lineRule="auto"/>
        <w:ind w:left="720" w:hanging="720"/>
        <w:rPr>
          <w:rFonts w:ascii="Times New Roman" w:hAnsi="Times New Roman" w:cs="Times New Roman"/>
          <w:sz w:val="24"/>
          <w:szCs w:val="24"/>
        </w:rPr>
      </w:pPr>
      <w:r w:rsidRPr="003236E5">
        <w:rPr>
          <w:rFonts w:ascii="Times New Roman" w:hAnsi="Times New Roman" w:cs="Times New Roman"/>
          <w:sz w:val="24"/>
          <w:szCs w:val="24"/>
        </w:rPr>
        <w:t xml:space="preserve">Fulk, J. M. (2018). Two &amp; A Half Parents: Three-Parent IVF and Medical Malpractice in the United States. Concordia L. Rev., 3, 200. </w:t>
      </w:r>
    </w:p>
    <w:p w:rsidR="003236E5" w:rsidRPr="003236E5" w:rsidRDefault="003236E5" w:rsidP="009029A9">
      <w:pPr>
        <w:spacing w:line="480" w:lineRule="auto"/>
        <w:ind w:left="720" w:hanging="720"/>
        <w:rPr>
          <w:rFonts w:ascii="Times New Roman" w:hAnsi="Times New Roman" w:cs="Times New Roman"/>
          <w:sz w:val="24"/>
          <w:szCs w:val="24"/>
        </w:rPr>
      </w:pPr>
      <w:r w:rsidRPr="003236E5">
        <w:rPr>
          <w:rFonts w:ascii="Times New Roman" w:hAnsi="Times New Roman" w:cs="Times New Roman"/>
          <w:sz w:val="24"/>
          <w:szCs w:val="24"/>
        </w:rPr>
        <w:t>Papanicolas, I., Woskie, L. R., &amp; Jha, A. K. (2018). Health care spending in the United States and other high-income countries. Jama, 319(10), 1024-1039</w:t>
      </w:r>
    </w:p>
    <w:p w:rsidR="003236E5" w:rsidRPr="003236E5" w:rsidRDefault="003236E5" w:rsidP="003236E5">
      <w:pPr>
        <w:spacing w:line="480" w:lineRule="auto"/>
        <w:ind w:firstLine="720"/>
        <w:rPr>
          <w:rFonts w:ascii="Times New Roman" w:hAnsi="Times New Roman" w:cs="Times New Roman"/>
          <w:sz w:val="24"/>
          <w:szCs w:val="24"/>
        </w:rPr>
      </w:pPr>
    </w:p>
    <w:p w:rsidR="003236E5" w:rsidRPr="003236E5" w:rsidRDefault="003236E5" w:rsidP="003236E5">
      <w:pPr>
        <w:spacing w:line="480" w:lineRule="auto"/>
        <w:ind w:firstLine="720"/>
        <w:rPr>
          <w:rFonts w:ascii="Times New Roman" w:hAnsi="Times New Roman" w:cs="Times New Roman"/>
          <w:sz w:val="24"/>
          <w:szCs w:val="24"/>
        </w:rPr>
      </w:pPr>
    </w:p>
    <w:p w:rsidR="003236E5" w:rsidRPr="003236E5" w:rsidRDefault="003236E5" w:rsidP="003236E5">
      <w:pPr>
        <w:spacing w:line="480" w:lineRule="auto"/>
        <w:ind w:firstLine="720"/>
        <w:rPr>
          <w:rFonts w:ascii="Times New Roman" w:hAnsi="Times New Roman" w:cs="Times New Roman"/>
          <w:b/>
          <w:sz w:val="24"/>
          <w:szCs w:val="24"/>
        </w:rPr>
      </w:pPr>
    </w:p>
    <w:p w:rsidR="003236E5" w:rsidRPr="003236E5" w:rsidRDefault="003236E5" w:rsidP="003236E5">
      <w:pPr>
        <w:spacing w:line="480" w:lineRule="auto"/>
        <w:ind w:firstLine="720"/>
        <w:rPr>
          <w:rFonts w:ascii="Times New Roman" w:hAnsi="Times New Roman" w:cs="Times New Roman"/>
          <w:b/>
          <w:sz w:val="24"/>
          <w:szCs w:val="24"/>
        </w:rPr>
      </w:pPr>
    </w:p>
    <w:p w:rsidR="003236E5" w:rsidRPr="003236E5" w:rsidRDefault="003236E5" w:rsidP="003236E5">
      <w:pPr>
        <w:spacing w:line="480" w:lineRule="auto"/>
        <w:ind w:firstLine="720"/>
        <w:rPr>
          <w:rFonts w:ascii="Times New Roman" w:hAnsi="Times New Roman" w:cs="Times New Roman"/>
          <w:sz w:val="24"/>
          <w:szCs w:val="24"/>
        </w:rPr>
      </w:pPr>
    </w:p>
    <w:p w:rsidR="007562D4" w:rsidRPr="003236E5" w:rsidRDefault="007562D4" w:rsidP="003236E5">
      <w:pPr>
        <w:spacing w:line="480" w:lineRule="auto"/>
        <w:ind w:firstLine="720"/>
        <w:rPr>
          <w:rFonts w:ascii="Times New Roman" w:hAnsi="Times New Roman" w:cs="Times New Roman"/>
          <w:b/>
          <w:sz w:val="24"/>
          <w:szCs w:val="24"/>
        </w:rPr>
      </w:pPr>
    </w:p>
    <w:sectPr w:rsidR="007562D4" w:rsidRPr="003236E5" w:rsidSect="00EF73C1">
      <w:headerReference w:type="default" r:id="rId8"/>
      <w:head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0CAC" w:rsidRDefault="00E00CAC">
      <w:pPr>
        <w:spacing w:after="0" w:line="240" w:lineRule="auto"/>
      </w:pPr>
      <w:r>
        <w:separator/>
      </w:r>
    </w:p>
  </w:endnote>
  <w:endnote w:type="continuationSeparator" w:id="0">
    <w:p w:rsidR="00E00CAC" w:rsidRDefault="00E00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0CAC" w:rsidRDefault="00E00CAC">
      <w:pPr>
        <w:spacing w:after="0" w:line="240" w:lineRule="auto"/>
      </w:pPr>
      <w:r>
        <w:separator/>
      </w:r>
    </w:p>
  </w:footnote>
  <w:footnote w:type="continuationSeparator" w:id="0">
    <w:p w:rsidR="00E00CAC" w:rsidRDefault="00E00C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467964045"/>
      <w:docPartObj>
        <w:docPartGallery w:val="Page Numbers (Top of Page)"/>
        <w:docPartUnique/>
      </w:docPartObj>
    </w:sdtPr>
    <w:sdtEndPr>
      <w:rPr>
        <w:noProof/>
      </w:rPr>
    </w:sdtEndPr>
    <w:sdtContent>
      <w:p w:rsidR="00EF73C1" w:rsidRPr="00EF73C1" w:rsidRDefault="00EF73C1">
        <w:pPr>
          <w:pStyle w:val="Header"/>
          <w:jc w:val="right"/>
          <w:rPr>
            <w:rFonts w:ascii="Times New Roman" w:hAnsi="Times New Roman" w:cs="Times New Roman"/>
            <w:sz w:val="24"/>
            <w:szCs w:val="24"/>
          </w:rPr>
        </w:pPr>
        <w:r w:rsidRPr="00EF73C1">
          <w:rPr>
            <w:rFonts w:ascii="Times New Roman" w:hAnsi="Times New Roman" w:cs="Times New Roman"/>
            <w:sz w:val="24"/>
            <w:szCs w:val="24"/>
          </w:rPr>
          <w:fldChar w:fldCharType="begin"/>
        </w:r>
        <w:r w:rsidRPr="00EF73C1">
          <w:rPr>
            <w:rFonts w:ascii="Times New Roman" w:hAnsi="Times New Roman" w:cs="Times New Roman"/>
            <w:sz w:val="24"/>
            <w:szCs w:val="24"/>
          </w:rPr>
          <w:instrText xml:space="preserve"> PAGE   \* MERGEFORMAT </w:instrText>
        </w:r>
        <w:r w:rsidRPr="00EF73C1">
          <w:rPr>
            <w:rFonts w:ascii="Times New Roman" w:hAnsi="Times New Roman" w:cs="Times New Roman"/>
            <w:sz w:val="24"/>
            <w:szCs w:val="24"/>
          </w:rPr>
          <w:fldChar w:fldCharType="separate"/>
        </w:r>
        <w:r w:rsidR="00F14E35">
          <w:rPr>
            <w:rFonts w:ascii="Times New Roman" w:hAnsi="Times New Roman" w:cs="Times New Roman"/>
            <w:noProof/>
            <w:sz w:val="24"/>
            <w:szCs w:val="24"/>
          </w:rPr>
          <w:t>2</w:t>
        </w:r>
        <w:r w:rsidRPr="00EF73C1">
          <w:rPr>
            <w:rFonts w:ascii="Times New Roman" w:hAnsi="Times New Roman" w:cs="Times New Roman"/>
            <w:noProof/>
            <w:sz w:val="24"/>
            <w:szCs w:val="24"/>
          </w:rPr>
          <w:fldChar w:fldCharType="end"/>
        </w:r>
      </w:p>
    </w:sdtContent>
  </w:sdt>
  <w:p w:rsidR="00877897" w:rsidRDefault="0087789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508747188"/>
      <w:docPartObj>
        <w:docPartGallery w:val="Page Numbers (Top of Page)"/>
        <w:docPartUnique/>
      </w:docPartObj>
    </w:sdtPr>
    <w:sdtEndPr>
      <w:rPr>
        <w:noProof/>
      </w:rPr>
    </w:sdtEndPr>
    <w:sdtContent>
      <w:p w:rsidR="002A095F" w:rsidRPr="002A095F" w:rsidRDefault="002A095F">
        <w:pPr>
          <w:pStyle w:val="Header"/>
          <w:jc w:val="right"/>
          <w:rPr>
            <w:rFonts w:ascii="Times New Roman" w:hAnsi="Times New Roman" w:cs="Times New Roman"/>
            <w:sz w:val="24"/>
            <w:szCs w:val="24"/>
          </w:rPr>
        </w:pPr>
        <w:r w:rsidRPr="002A095F">
          <w:rPr>
            <w:rFonts w:ascii="Times New Roman" w:hAnsi="Times New Roman" w:cs="Times New Roman"/>
            <w:sz w:val="24"/>
            <w:szCs w:val="24"/>
          </w:rPr>
          <w:fldChar w:fldCharType="begin"/>
        </w:r>
        <w:r w:rsidRPr="002A095F">
          <w:rPr>
            <w:rFonts w:ascii="Times New Roman" w:hAnsi="Times New Roman" w:cs="Times New Roman"/>
            <w:sz w:val="24"/>
            <w:szCs w:val="24"/>
          </w:rPr>
          <w:instrText xml:space="preserve"> PAGE   \* MERGEFORMAT </w:instrText>
        </w:r>
        <w:r w:rsidRPr="002A095F">
          <w:rPr>
            <w:rFonts w:ascii="Times New Roman" w:hAnsi="Times New Roman" w:cs="Times New Roman"/>
            <w:sz w:val="24"/>
            <w:szCs w:val="24"/>
          </w:rPr>
          <w:fldChar w:fldCharType="separate"/>
        </w:r>
        <w:r w:rsidR="00EF73C1">
          <w:rPr>
            <w:rFonts w:ascii="Times New Roman" w:hAnsi="Times New Roman" w:cs="Times New Roman"/>
            <w:noProof/>
            <w:sz w:val="24"/>
            <w:szCs w:val="24"/>
          </w:rPr>
          <w:t>1</w:t>
        </w:r>
        <w:r w:rsidRPr="002A095F">
          <w:rPr>
            <w:rFonts w:ascii="Times New Roman" w:hAnsi="Times New Roman" w:cs="Times New Roman"/>
            <w:noProof/>
            <w:sz w:val="24"/>
            <w:szCs w:val="24"/>
          </w:rPr>
          <w:fldChar w:fldCharType="end"/>
        </w:r>
      </w:p>
    </w:sdtContent>
  </w:sdt>
  <w:p w:rsidR="009029A9" w:rsidRDefault="009029A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22EF3"/>
    <w:multiLevelType w:val="hybridMultilevel"/>
    <w:tmpl w:val="995AC0C0"/>
    <w:lvl w:ilvl="0" w:tplc="46940A2A">
      <w:start w:val="1"/>
      <w:numFmt w:val="decimal"/>
      <w:lvlText w:val="%1."/>
      <w:lvlJc w:val="left"/>
      <w:pPr>
        <w:ind w:left="720" w:hanging="360"/>
      </w:pPr>
    </w:lvl>
    <w:lvl w:ilvl="1" w:tplc="6DC46B0A" w:tentative="1">
      <w:start w:val="1"/>
      <w:numFmt w:val="lowerLetter"/>
      <w:lvlText w:val="%2."/>
      <w:lvlJc w:val="left"/>
      <w:pPr>
        <w:ind w:left="1440" w:hanging="360"/>
      </w:pPr>
    </w:lvl>
    <w:lvl w:ilvl="2" w:tplc="FD9CF226" w:tentative="1">
      <w:start w:val="1"/>
      <w:numFmt w:val="lowerRoman"/>
      <w:lvlText w:val="%3."/>
      <w:lvlJc w:val="right"/>
      <w:pPr>
        <w:ind w:left="2160" w:hanging="180"/>
      </w:pPr>
    </w:lvl>
    <w:lvl w:ilvl="3" w:tplc="473047E0" w:tentative="1">
      <w:start w:val="1"/>
      <w:numFmt w:val="decimal"/>
      <w:lvlText w:val="%4."/>
      <w:lvlJc w:val="left"/>
      <w:pPr>
        <w:ind w:left="2880" w:hanging="360"/>
      </w:pPr>
    </w:lvl>
    <w:lvl w:ilvl="4" w:tplc="B82C1EA6" w:tentative="1">
      <w:start w:val="1"/>
      <w:numFmt w:val="lowerLetter"/>
      <w:lvlText w:val="%5."/>
      <w:lvlJc w:val="left"/>
      <w:pPr>
        <w:ind w:left="3600" w:hanging="360"/>
      </w:pPr>
    </w:lvl>
    <w:lvl w:ilvl="5" w:tplc="50AADF22" w:tentative="1">
      <w:start w:val="1"/>
      <w:numFmt w:val="lowerRoman"/>
      <w:lvlText w:val="%6."/>
      <w:lvlJc w:val="right"/>
      <w:pPr>
        <w:ind w:left="4320" w:hanging="180"/>
      </w:pPr>
    </w:lvl>
    <w:lvl w:ilvl="6" w:tplc="9866F8F2" w:tentative="1">
      <w:start w:val="1"/>
      <w:numFmt w:val="decimal"/>
      <w:lvlText w:val="%7."/>
      <w:lvlJc w:val="left"/>
      <w:pPr>
        <w:ind w:left="5040" w:hanging="360"/>
      </w:pPr>
    </w:lvl>
    <w:lvl w:ilvl="7" w:tplc="DE56489E" w:tentative="1">
      <w:start w:val="1"/>
      <w:numFmt w:val="lowerLetter"/>
      <w:lvlText w:val="%8."/>
      <w:lvlJc w:val="left"/>
      <w:pPr>
        <w:ind w:left="5760" w:hanging="360"/>
      </w:pPr>
    </w:lvl>
    <w:lvl w:ilvl="8" w:tplc="2A5A17BC" w:tentative="1">
      <w:start w:val="1"/>
      <w:numFmt w:val="lowerRoman"/>
      <w:lvlText w:val="%9."/>
      <w:lvlJc w:val="right"/>
      <w:pPr>
        <w:ind w:left="6480" w:hanging="180"/>
      </w:pPr>
    </w:lvl>
  </w:abstractNum>
  <w:abstractNum w:abstractNumId="1" w15:restartNumberingAfterBreak="0">
    <w:nsid w:val="10CF7DC4"/>
    <w:multiLevelType w:val="hybridMultilevel"/>
    <w:tmpl w:val="B7B06E54"/>
    <w:lvl w:ilvl="0" w:tplc="64428D84">
      <w:start w:val="1"/>
      <w:numFmt w:val="decimal"/>
      <w:lvlText w:val="%1."/>
      <w:lvlJc w:val="left"/>
      <w:pPr>
        <w:ind w:left="720" w:hanging="360"/>
      </w:pPr>
      <w:rPr>
        <w:rFonts w:hint="default"/>
      </w:rPr>
    </w:lvl>
    <w:lvl w:ilvl="1" w:tplc="95AEA052" w:tentative="1">
      <w:start w:val="1"/>
      <w:numFmt w:val="lowerLetter"/>
      <w:lvlText w:val="%2."/>
      <w:lvlJc w:val="left"/>
      <w:pPr>
        <w:ind w:left="1440" w:hanging="360"/>
      </w:pPr>
    </w:lvl>
    <w:lvl w:ilvl="2" w:tplc="E45C517C" w:tentative="1">
      <w:start w:val="1"/>
      <w:numFmt w:val="lowerRoman"/>
      <w:lvlText w:val="%3."/>
      <w:lvlJc w:val="right"/>
      <w:pPr>
        <w:ind w:left="2160" w:hanging="180"/>
      </w:pPr>
    </w:lvl>
    <w:lvl w:ilvl="3" w:tplc="6A7E0400" w:tentative="1">
      <w:start w:val="1"/>
      <w:numFmt w:val="decimal"/>
      <w:lvlText w:val="%4."/>
      <w:lvlJc w:val="left"/>
      <w:pPr>
        <w:ind w:left="2880" w:hanging="360"/>
      </w:pPr>
    </w:lvl>
    <w:lvl w:ilvl="4" w:tplc="F0081ED2" w:tentative="1">
      <w:start w:val="1"/>
      <w:numFmt w:val="lowerLetter"/>
      <w:lvlText w:val="%5."/>
      <w:lvlJc w:val="left"/>
      <w:pPr>
        <w:ind w:left="3600" w:hanging="360"/>
      </w:pPr>
    </w:lvl>
    <w:lvl w:ilvl="5" w:tplc="DEB0B3A0" w:tentative="1">
      <w:start w:val="1"/>
      <w:numFmt w:val="lowerRoman"/>
      <w:lvlText w:val="%6."/>
      <w:lvlJc w:val="right"/>
      <w:pPr>
        <w:ind w:left="4320" w:hanging="180"/>
      </w:pPr>
    </w:lvl>
    <w:lvl w:ilvl="6" w:tplc="6D7A7412" w:tentative="1">
      <w:start w:val="1"/>
      <w:numFmt w:val="decimal"/>
      <w:lvlText w:val="%7."/>
      <w:lvlJc w:val="left"/>
      <w:pPr>
        <w:ind w:left="5040" w:hanging="360"/>
      </w:pPr>
    </w:lvl>
    <w:lvl w:ilvl="7" w:tplc="43A800D8" w:tentative="1">
      <w:start w:val="1"/>
      <w:numFmt w:val="lowerLetter"/>
      <w:lvlText w:val="%8."/>
      <w:lvlJc w:val="left"/>
      <w:pPr>
        <w:ind w:left="5760" w:hanging="360"/>
      </w:pPr>
    </w:lvl>
    <w:lvl w:ilvl="8" w:tplc="D2F2187C" w:tentative="1">
      <w:start w:val="1"/>
      <w:numFmt w:val="lowerRoman"/>
      <w:lvlText w:val="%9."/>
      <w:lvlJc w:val="right"/>
      <w:pPr>
        <w:ind w:left="6480" w:hanging="180"/>
      </w:pPr>
    </w:lvl>
  </w:abstractNum>
  <w:abstractNum w:abstractNumId="2" w15:restartNumberingAfterBreak="0">
    <w:nsid w:val="17566E36"/>
    <w:multiLevelType w:val="hybridMultilevel"/>
    <w:tmpl w:val="0A1AEB6C"/>
    <w:lvl w:ilvl="0" w:tplc="CC881BC0">
      <w:start w:val="1"/>
      <w:numFmt w:val="decimal"/>
      <w:lvlText w:val="%1."/>
      <w:lvlJc w:val="left"/>
      <w:pPr>
        <w:ind w:left="720" w:hanging="360"/>
      </w:pPr>
      <w:rPr>
        <w:rFonts w:hint="default"/>
        <w:b w:val="0"/>
      </w:rPr>
    </w:lvl>
    <w:lvl w:ilvl="1" w:tplc="E8385C28" w:tentative="1">
      <w:start w:val="1"/>
      <w:numFmt w:val="lowerLetter"/>
      <w:lvlText w:val="%2."/>
      <w:lvlJc w:val="left"/>
      <w:pPr>
        <w:ind w:left="1440" w:hanging="360"/>
      </w:pPr>
    </w:lvl>
    <w:lvl w:ilvl="2" w:tplc="CF4E988A" w:tentative="1">
      <w:start w:val="1"/>
      <w:numFmt w:val="lowerRoman"/>
      <w:lvlText w:val="%3."/>
      <w:lvlJc w:val="right"/>
      <w:pPr>
        <w:ind w:left="2160" w:hanging="180"/>
      </w:pPr>
    </w:lvl>
    <w:lvl w:ilvl="3" w:tplc="750A5ECE" w:tentative="1">
      <w:start w:val="1"/>
      <w:numFmt w:val="decimal"/>
      <w:lvlText w:val="%4."/>
      <w:lvlJc w:val="left"/>
      <w:pPr>
        <w:ind w:left="2880" w:hanging="360"/>
      </w:pPr>
    </w:lvl>
    <w:lvl w:ilvl="4" w:tplc="66DECB76" w:tentative="1">
      <w:start w:val="1"/>
      <w:numFmt w:val="lowerLetter"/>
      <w:lvlText w:val="%5."/>
      <w:lvlJc w:val="left"/>
      <w:pPr>
        <w:ind w:left="3600" w:hanging="360"/>
      </w:pPr>
    </w:lvl>
    <w:lvl w:ilvl="5" w:tplc="E47046E6" w:tentative="1">
      <w:start w:val="1"/>
      <w:numFmt w:val="lowerRoman"/>
      <w:lvlText w:val="%6."/>
      <w:lvlJc w:val="right"/>
      <w:pPr>
        <w:ind w:left="4320" w:hanging="180"/>
      </w:pPr>
    </w:lvl>
    <w:lvl w:ilvl="6" w:tplc="5BE846C2" w:tentative="1">
      <w:start w:val="1"/>
      <w:numFmt w:val="decimal"/>
      <w:lvlText w:val="%7."/>
      <w:lvlJc w:val="left"/>
      <w:pPr>
        <w:ind w:left="5040" w:hanging="360"/>
      </w:pPr>
    </w:lvl>
    <w:lvl w:ilvl="7" w:tplc="0E8C6106" w:tentative="1">
      <w:start w:val="1"/>
      <w:numFmt w:val="lowerLetter"/>
      <w:lvlText w:val="%8."/>
      <w:lvlJc w:val="left"/>
      <w:pPr>
        <w:ind w:left="5760" w:hanging="360"/>
      </w:pPr>
    </w:lvl>
    <w:lvl w:ilvl="8" w:tplc="84F4E79E" w:tentative="1">
      <w:start w:val="1"/>
      <w:numFmt w:val="lowerRoman"/>
      <w:lvlText w:val="%9."/>
      <w:lvlJc w:val="right"/>
      <w:pPr>
        <w:ind w:left="6480" w:hanging="180"/>
      </w:pPr>
    </w:lvl>
  </w:abstractNum>
  <w:abstractNum w:abstractNumId="3" w15:restartNumberingAfterBreak="0">
    <w:nsid w:val="1B1D516D"/>
    <w:multiLevelType w:val="multilevel"/>
    <w:tmpl w:val="35705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5C54C0"/>
    <w:multiLevelType w:val="hybridMultilevel"/>
    <w:tmpl w:val="655879EA"/>
    <w:lvl w:ilvl="0" w:tplc="B81EDCCE">
      <w:start w:val="1"/>
      <w:numFmt w:val="decimal"/>
      <w:lvlText w:val="%1."/>
      <w:lvlJc w:val="left"/>
      <w:pPr>
        <w:ind w:left="720" w:hanging="360"/>
      </w:pPr>
      <w:rPr>
        <w:rFonts w:hint="default"/>
      </w:rPr>
    </w:lvl>
    <w:lvl w:ilvl="1" w:tplc="8556D150" w:tentative="1">
      <w:start w:val="1"/>
      <w:numFmt w:val="lowerLetter"/>
      <w:lvlText w:val="%2."/>
      <w:lvlJc w:val="left"/>
      <w:pPr>
        <w:ind w:left="1440" w:hanging="360"/>
      </w:pPr>
    </w:lvl>
    <w:lvl w:ilvl="2" w:tplc="7E6EE176" w:tentative="1">
      <w:start w:val="1"/>
      <w:numFmt w:val="lowerRoman"/>
      <w:lvlText w:val="%3."/>
      <w:lvlJc w:val="right"/>
      <w:pPr>
        <w:ind w:left="2160" w:hanging="180"/>
      </w:pPr>
    </w:lvl>
    <w:lvl w:ilvl="3" w:tplc="159A2CEE" w:tentative="1">
      <w:start w:val="1"/>
      <w:numFmt w:val="decimal"/>
      <w:lvlText w:val="%4."/>
      <w:lvlJc w:val="left"/>
      <w:pPr>
        <w:ind w:left="2880" w:hanging="360"/>
      </w:pPr>
    </w:lvl>
    <w:lvl w:ilvl="4" w:tplc="06B0DEA2" w:tentative="1">
      <w:start w:val="1"/>
      <w:numFmt w:val="lowerLetter"/>
      <w:lvlText w:val="%5."/>
      <w:lvlJc w:val="left"/>
      <w:pPr>
        <w:ind w:left="3600" w:hanging="360"/>
      </w:pPr>
    </w:lvl>
    <w:lvl w:ilvl="5" w:tplc="7540AC34" w:tentative="1">
      <w:start w:val="1"/>
      <w:numFmt w:val="lowerRoman"/>
      <w:lvlText w:val="%6."/>
      <w:lvlJc w:val="right"/>
      <w:pPr>
        <w:ind w:left="4320" w:hanging="180"/>
      </w:pPr>
    </w:lvl>
    <w:lvl w:ilvl="6" w:tplc="DC427FE6" w:tentative="1">
      <w:start w:val="1"/>
      <w:numFmt w:val="decimal"/>
      <w:lvlText w:val="%7."/>
      <w:lvlJc w:val="left"/>
      <w:pPr>
        <w:ind w:left="5040" w:hanging="360"/>
      </w:pPr>
    </w:lvl>
    <w:lvl w:ilvl="7" w:tplc="2D86BD06" w:tentative="1">
      <w:start w:val="1"/>
      <w:numFmt w:val="lowerLetter"/>
      <w:lvlText w:val="%8."/>
      <w:lvlJc w:val="left"/>
      <w:pPr>
        <w:ind w:left="5760" w:hanging="360"/>
      </w:pPr>
    </w:lvl>
    <w:lvl w:ilvl="8" w:tplc="097417CE" w:tentative="1">
      <w:start w:val="1"/>
      <w:numFmt w:val="lowerRoman"/>
      <w:lvlText w:val="%9."/>
      <w:lvlJc w:val="right"/>
      <w:pPr>
        <w:ind w:left="6480" w:hanging="180"/>
      </w:pPr>
    </w:lvl>
  </w:abstractNum>
  <w:abstractNum w:abstractNumId="5" w15:restartNumberingAfterBreak="0">
    <w:nsid w:val="3232565D"/>
    <w:multiLevelType w:val="hybridMultilevel"/>
    <w:tmpl w:val="CF765C88"/>
    <w:lvl w:ilvl="0" w:tplc="7888957C">
      <w:start w:val="1"/>
      <w:numFmt w:val="bullet"/>
      <w:lvlText w:val=""/>
      <w:lvlJc w:val="left"/>
      <w:pPr>
        <w:ind w:left="720" w:hanging="360"/>
      </w:pPr>
      <w:rPr>
        <w:rFonts w:ascii="Symbol" w:hAnsi="Symbol" w:hint="default"/>
      </w:rPr>
    </w:lvl>
    <w:lvl w:ilvl="1" w:tplc="4D02AD14" w:tentative="1">
      <w:start w:val="1"/>
      <w:numFmt w:val="bullet"/>
      <w:lvlText w:val="o"/>
      <w:lvlJc w:val="left"/>
      <w:pPr>
        <w:ind w:left="1440" w:hanging="360"/>
      </w:pPr>
      <w:rPr>
        <w:rFonts w:ascii="Courier New" w:hAnsi="Courier New" w:cs="Courier New" w:hint="default"/>
      </w:rPr>
    </w:lvl>
    <w:lvl w:ilvl="2" w:tplc="7714B9D8" w:tentative="1">
      <w:start w:val="1"/>
      <w:numFmt w:val="bullet"/>
      <w:lvlText w:val=""/>
      <w:lvlJc w:val="left"/>
      <w:pPr>
        <w:ind w:left="2160" w:hanging="360"/>
      </w:pPr>
      <w:rPr>
        <w:rFonts w:ascii="Wingdings" w:hAnsi="Wingdings" w:hint="default"/>
      </w:rPr>
    </w:lvl>
    <w:lvl w:ilvl="3" w:tplc="120C95C8" w:tentative="1">
      <w:start w:val="1"/>
      <w:numFmt w:val="bullet"/>
      <w:lvlText w:val=""/>
      <w:lvlJc w:val="left"/>
      <w:pPr>
        <w:ind w:left="2880" w:hanging="360"/>
      </w:pPr>
      <w:rPr>
        <w:rFonts w:ascii="Symbol" w:hAnsi="Symbol" w:hint="default"/>
      </w:rPr>
    </w:lvl>
    <w:lvl w:ilvl="4" w:tplc="7D5E1CC4" w:tentative="1">
      <w:start w:val="1"/>
      <w:numFmt w:val="bullet"/>
      <w:lvlText w:val="o"/>
      <w:lvlJc w:val="left"/>
      <w:pPr>
        <w:ind w:left="3600" w:hanging="360"/>
      </w:pPr>
      <w:rPr>
        <w:rFonts w:ascii="Courier New" w:hAnsi="Courier New" w:cs="Courier New" w:hint="default"/>
      </w:rPr>
    </w:lvl>
    <w:lvl w:ilvl="5" w:tplc="08282C70" w:tentative="1">
      <w:start w:val="1"/>
      <w:numFmt w:val="bullet"/>
      <w:lvlText w:val=""/>
      <w:lvlJc w:val="left"/>
      <w:pPr>
        <w:ind w:left="4320" w:hanging="360"/>
      </w:pPr>
      <w:rPr>
        <w:rFonts w:ascii="Wingdings" w:hAnsi="Wingdings" w:hint="default"/>
      </w:rPr>
    </w:lvl>
    <w:lvl w:ilvl="6" w:tplc="441C4E22" w:tentative="1">
      <w:start w:val="1"/>
      <w:numFmt w:val="bullet"/>
      <w:lvlText w:val=""/>
      <w:lvlJc w:val="left"/>
      <w:pPr>
        <w:ind w:left="5040" w:hanging="360"/>
      </w:pPr>
      <w:rPr>
        <w:rFonts w:ascii="Symbol" w:hAnsi="Symbol" w:hint="default"/>
      </w:rPr>
    </w:lvl>
    <w:lvl w:ilvl="7" w:tplc="CCBCF3BC" w:tentative="1">
      <w:start w:val="1"/>
      <w:numFmt w:val="bullet"/>
      <w:lvlText w:val="o"/>
      <w:lvlJc w:val="left"/>
      <w:pPr>
        <w:ind w:left="5760" w:hanging="360"/>
      </w:pPr>
      <w:rPr>
        <w:rFonts w:ascii="Courier New" w:hAnsi="Courier New" w:cs="Courier New" w:hint="default"/>
      </w:rPr>
    </w:lvl>
    <w:lvl w:ilvl="8" w:tplc="F574EA0A" w:tentative="1">
      <w:start w:val="1"/>
      <w:numFmt w:val="bullet"/>
      <w:lvlText w:val=""/>
      <w:lvlJc w:val="left"/>
      <w:pPr>
        <w:ind w:left="6480" w:hanging="360"/>
      </w:pPr>
      <w:rPr>
        <w:rFonts w:ascii="Wingdings" w:hAnsi="Wingdings" w:hint="default"/>
      </w:rPr>
    </w:lvl>
  </w:abstractNum>
  <w:abstractNum w:abstractNumId="6" w15:restartNumberingAfterBreak="0">
    <w:nsid w:val="334B04F2"/>
    <w:multiLevelType w:val="hybridMultilevel"/>
    <w:tmpl w:val="F07C84AE"/>
    <w:lvl w:ilvl="0" w:tplc="BB8C7680">
      <w:start w:val="1"/>
      <w:numFmt w:val="bullet"/>
      <w:lvlText w:val=""/>
      <w:lvlJc w:val="left"/>
      <w:pPr>
        <w:ind w:left="720" w:hanging="360"/>
      </w:pPr>
      <w:rPr>
        <w:rFonts w:ascii="Symbol" w:hAnsi="Symbol" w:hint="default"/>
      </w:rPr>
    </w:lvl>
    <w:lvl w:ilvl="1" w:tplc="81168DAA" w:tentative="1">
      <w:start w:val="1"/>
      <w:numFmt w:val="bullet"/>
      <w:lvlText w:val="o"/>
      <w:lvlJc w:val="left"/>
      <w:pPr>
        <w:ind w:left="1440" w:hanging="360"/>
      </w:pPr>
      <w:rPr>
        <w:rFonts w:ascii="Courier New" w:hAnsi="Courier New" w:cs="Courier New" w:hint="default"/>
      </w:rPr>
    </w:lvl>
    <w:lvl w:ilvl="2" w:tplc="302EA5B0" w:tentative="1">
      <w:start w:val="1"/>
      <w:numFmt w:val="bullet"/>
      <w:lvlText w:val=""/>
      <w:lvlJc w:val="left"/>
      <w:pPr>
        <w:ind w:left="2160" w:hanging="360"/>
      </w:pPr>
      <w:rPr>
        <w:rFonts w:ascii="Wingdings" w:hAnsi="Wingdings" w:hint="default"/>
      </w:rPr>
    </w:lvl>
    <w:lvl w:ilvl="3" w:tplc="D570B9F2" w:tentative="1">
      <w:start w:val="1"/>
      <w:numFmt w:val="bullet"/>
      <w:lvlText w:val=""/>
      <w:lvlJc w:val="left"/>
      <w:pPr>
        <w:ind w:left="2880" w:hanging="360"/>
      </w:pPr>
      <w:rPr>
        <w:rFonts w:ascii="Symbol" w:hAnsi="Symbol" w:hint="default"/>
      </w:rPr>
    </w:lvl>
    <w:lvl w:ilvl="4" w:tplc="2982B2D0" w:tentative="1">
      <w:start w:val="1"/>
      <w:numFmt w:val="bullet"/>
      <w:lvlText w:val="o"/>
      <w:lvlJc w:val="left"/>
      <w:pPr>
        <w:ind w:left="3600" w:hanging="360"/>
      </w:pPr>
      <w:rPr>
        <w:rFonts w:ascii="Courier New" w:hAnsi="Courier New" w:cs="Courier New" w:hint="default"/>
      </w:rPr>
    </w:lvl>
    <w:lvl w:ilvl="5" w:tplc="68FCFDD6" w:tentative="1">
      <w:start w:val="1"/>
      <w:numFmt w:val="bullet"/>
      <w:lvlText w:val=""/>
      <w:lvlJc w:val="left"/>
      <w:pPr>
        <w:ind w:left="4320" w:hanging="360"/>
      </w:pPr>
      <w:rPr>
        <w:rFonts w:ascii="Wingdings" w:hAnsi="Wingdings" w:hint="default"/>
      </w:rPr>
    </w:lvl>
    <w:lvl w:ilvl="6" w:tplc="86C0D8D4" w:tentative="1">
      <w:start w:val="1"/>
      <w:numFmt w:val="bullet"/>
      <w:lvlText w:val=""/>
      <w:lvlJc w:val="left"/>
      <w:pPr>
        <w:ind w:left="5040" w:hanging="360"/>
      </w:pPr>
      <w:rPr>
        <w:rFonts w:ascii="Symbol" w:hAnsi="Symbol" w:hint="default"/>
      </w:rPr>
    </w:lvl>
    <w:lvl w:ilvl="7" w:tplc="CA584D9C" w:tentative="1">
      <w:start w:val="1"/>
      <w:numFmt w:val="bullet"/>
      <w:lvlText w:val="o"/>
      <w:lvlJc w:val="left"/>
      <w:pPr>
        <w:ind w:left="5760" w:hanging="360"/>
      </w:pPr>
      <w:rPr>
        <w:rFonts w:ascii="Courier New" w:hAnsi="Courier New" w:cs="Courier New" w:hint="default"/>
      </w:rPr>
    </w:lvl>
    <w:lvl w:ilvl="8" w:tplc="DC3A42CA" w:tentative="1">
      <w:start w:val="1"/>
      <w:numFmt w:val="bullet"/>
      <w:lvlText w:val=""/>
      <w:lvlJc w:val="left"/>
      <w:pPr>
        <w:ind w:left="6480" w:hanging="360"/>
      </w:pPr>
      <w:rPr>
        <w:rFonts w:ascii="Wingdings" w:hAnsi="Wingdings" w:hint="default"/>
      </w:rPr>
    </w:lvl>
  </w:abstractNum>
  <w:abstractNum w:abstractNumId="7" w15:restartNumberingAfterBreak="0">
    <w:nsid w:val="5A107341"/>
    <w:multiLevelType w:val="hybridMultilevel"/>
    <w:tmpl w:val="722434BA"/>
    <w:lvl w:ilvl="0" w:tplc="9352148C">
      <w:start w:val="1"/>
      <w:numFmt w:val="upperLetter"/>
      <w:lvlText w:val="%1."/>
      <w:lvlJc w:val="left"/>
      <w:pPr>
        <w:ind w:left="720" w:hanging="360"/>
      </w:pPr>
      <w:rPr>
        <w:rFonts w:hint="default"/>
      </w:rPr>
    </w:lvl>
    <w:lvl w:ilvl="1" w:tplc="8160D53E" w:tentative="1">
      <w:start w:val="1"/>
      <w:numFmt w:val="lowerLetter"/>
      <w:lvlText w:val="%2."/>
      <w:lvlJc w:val="left"/>
      <w:pPr>
        <w:ind w:left="1440" w:hanging="360"/>
      </w:pPr>
    </w:lvl>
    <w:lvl w:ilvl="2" w:tplc="5D62CEB0" w:tentative="1">
      <w:start w:val="1"/>
      <w:numFmt w:val="lowerRoman"/>
      <w:lvlText w:val="%3."/>
      <w:lvlJc w:val="right"/>
      <w:pPr>
        <w:ind w:left="2160" w:hanging="180"/>
      </w:pPr>
    </w:lvl>
    <w:lvl w:ilvl="3" w:tplc="B1324AB4" w:tentative="1">
      <w:start w:val="1"/>
      <w:numFmt w:val="decimal"/>
      <w:lvlText w:val="%4."/>
      <w:lvlJc w:val="left"/>
      <w:pPr>
        <w:ind w:left="2880" w:hanging="360"/>
      </w:pPr>
    </w:lvl>
    <w:lvl w:ilvl="4" w:tplc="47365F8E" w:tentative="1">
      <w:start w:val="1"/>
      <w:numFmt w:val="lowerLetter"/>
      <w:lvlText w:val="%5."/>
      <w:lvlJc w:val="left"/>
      <w:pPr>
        <w:ind w:left="3600" w:hanging="360"/>
      </w:pPr>
    </w:lvl>
    <w:lvl w:ilvl="5" w:tplc="53321746" w:tentative="1">
      <w:start w:val="1"/>
      <w:numFmt w:val="lowerRoman"/>
      <w:lvlText w:val="%6."/>
      <w:lvlJc w:val="right"/>
      <w:pPr>
        <w:ind w:left="4320" w:hanging="180"/>
      </w:pPr>
    </w:lvl>
    <w:lvl w:ilvl="6" w:tplc="4A16C622" w:tentative="1">
      <w:start w:val="1"/>
      <w:numFmt w:val="decimal"/>
      <w:lvlText w:val="%7."/>
      <w:lvlJc w:val="left"/>
      <w:pPr>
        <w:ind w:left="5040" w:hanging="360"/>
      </w:pPr>
    </w:lvl>
    <w:lvl w:ilvl="7" w:tplc="BAA61290" w:tentative="1">
      <w:start w:val="1"/>
      <w:numFmt w:val="lowerLetter"/>
      <w:lvlText w:val="%8."/>
      <w:lvlJc w:val="left"/>
      <w:pPr>
        <w:ind w:left="5760" w:hanging="360"/>
      </w:pPr>
    </w:lvl>
    <w:lvl w:ilvl="8" w:tplc="78A83C34" w:tentative="1">
      <w:start w:val="1"/>
      <w:numFmt w:val="lowerRoman"/>
      <w:lvlText w:val="%9."/>
      <w:lvlJc w:val="right"/>
      <w:pPr>
        <w:ind w:left="6480" w:hanging="180"/>
      </w:pPr>
    </w:lvl>
  </w:abstractNum>
  <w:abstractNum w:abstractNumId="8" w15:restartNumberingAfterBreak="0">
    <w:nsid w:val="5A301CBA"/>
    <w:multiLevelType w:val="hybridMultilevel"/>
    <w:tmpl w:val="897489A0"/>
    <w:lvl w:ilvl="0" w:tplc="BF92E7F4">
      <w:start w:val="1"/>
      <w:numFmt w:val="bullet"/>
      <w:lvlText w:val=""/>
      <w:lvlJc w:val="left"/>
      <w:pPr>
        <w:ind w:left="720" w:hanging="360"/>
      </w:pPr>
      <w:rPr>
        <w:rFonts w:ascii="Symbol" w:hAnsi="Symbol" w:hint="default"/>
      </w:rPr>
    </w:lvl>
    <w:lvl w:ilvl="1" w:tplc="16983EC0" w:tentative="1">
      <w:start w:val="1"/>
      <w:numFmt w:val="bullet"/>
      <w:lvlText w:val="o"/>
      <w:lvlJc w:val="left"/>
      <w:pPr>
        <w:ind w:left="1440" w:hanging="360"/>
      </w:pPr>
      <w:rPr>
        <w:rFonts w:ascii="Courier New" w:hAnsi="Courier New" w:cs="Courier New" w:hint="default"/>
      </w:rPr>
    </w:lvl>
    <w:lvl w:ilvl="2" w:tplc="A61C27EE" w:tentative="1">
      <w:start w:val="1"/>
      <w:numFmt w:val="bullet"/>
      <w:lvlText w:val=""/>
      <w:lvlJc w:val="left"/>
      <w:pPr>
        <w:ind w:left="2160" w:hanging="360"/>
      </w:pPr>
      <w:rPr>
        <w:rFonts w:ascii="Wingdings" w:hAnsi="Wingdings" w:hint="default"/>
      </w:rPr>
    </w:lvl>
    <w:lvl w:ilvl="3" w:tplc="5EF07660" w:tentative="1">
      <w:start w:val="1"/>
      <w:numFmt w:val="bullet"/>
      <w:lvlText w:val=""/>
      <w:lvlJc w:val="left"/>
      <w:pPr>
        <w:ind w:left="2880" w:hanging="360"/>
      </w:pPr>
      <w:rPr>
        <w:rFonts w:ascii="Symbol" w:hAnsi="Symbol" w:hint="default"/>
      </w:rPr>
    </w:lvl>
    <w:lvl w:ilvl="4" w:tplc="CD641C80" w:tentative="1">
      <w:start w:val="1"/>
      <w:numFmt w:val="bullet"/>
      <w:lvlText w:val="o"/>
      <w:lvlJc w:val="left"/>
      <w:pPr>
        <w:ind w:left="3600" w:hanging="360"/>
      </w:pPr>
      <w:rPr>
        <w:rFonts w:ascii="Courier New" w:hAnsi="Courier New" w:cs="Courier New" w:hint="default"/>
      </w:rPr>
    </w:lvl>
    <w:lvl w:ilvl="5" w:tplc="C71284C0" w:tentative="1">
      <w:start w:val="1"/>
      <w:numFmt w:val="bullet"/>
      <w:lvlText w:val=""/>
      <w:lvlJc w:val="left"/>
      <w:pPr>
        <w:ind w:left="4320" w:hanging="360"/>
      </w:pPr>
      <w:rPr>
        <w:rFonts w:ascii="Wingdings" w:hAnsi="Wingdings" w:hint="default"/>
      </w:rPr>
    </w:lvl>
    <w:lvl w:ilvl="6" w:tplc="2B387284" w:tentative="1">
      <w:start w:val="1"/>
      <w:numFmt w:val="bullet"/>
      <w:lvlText w:val=""/>
      <w:lvlJc w:val="left"/>
      <w:pPr>
        <w:ind w:left="5040" w:hanging="360"/>
      </w:pPr>
      <w:rPr>
        <w:rFonts w:ascii="Symbol" w:hAnsi="Symbol" w:hint="default"/>
      </w:rPr>
    </w:lvl>
    <w:lvl w:ilvl="7" w:tplc="AA74B816" w:tentative="1">
      <w:start w:val="1"/>
      <w:numFmt w:val="bullet"/>
      <w:lvlText w:val="o"/>
      <w:lvlJc w:val="left"/>
      <w:pPr>
        <w:ind w:left="5760" w:hanging="360"/>
      </w:pPr>
      <w:rPr>
        <w:rFonts w:ascii="Courier New" w:hAnsi="Courier New" w:cs="Courier New" w:hint="default"/>
      </w:rPr>
    </w:lvl>
    <w:lvl w:ilvl="8" w:tplc="C4EC0582" w:tentative="1">
      <w:start w:val="1"/>
      <w:numFmt w:val="bullet"/>
      <w:lvlText w:val=""/>
      <w:lvlJc w:val="left"/>
      <w:pPr>
        <w:ind w:left="6480" w:hanging="360"/>
      </w:pPr>
      <w:rPr>
        <w:rFonts w:ascii="Wingdings" w:hAnsi="Wingdings" w:hint="default"/>
      </w:rPr>
    </w:lvl>
  </w:abstractNum>
  <w:abstractNum w:abstractNumId="9" w15:restartNumberingAfterBreak="0">
    <w:nsid w:val="5C9B67DC"/>
    <w:multiLevelType w:val="hybridMultilevel"/>
    <w:tmpl w:val="7C84769C"/>
    <w:lvl w:ilvl="0" w:tplc="308606EA">
      <w:start w:val="1"/>
      <w:numFmt w:val="decimal"/>
      <w:lvlText w:val="%1."/>
      <w:lvlJc w:val="left"/>
      <w:pPr>
        <w:ind w:left="1080" w:hanging="360"/>
      </w:pPr>
      <w:rPr>
        <w:rFonts w:hint="default"/>
      </w:rPr>
    </w:lvl>
    <w:lvl w:ilvl="1" w:tplc="A838F9CC" w:tentative="1">
      <w:start w:val="1"/>
      <w:numFmt w:val="lowerLetter"/>
      <w:lvlText w:val="%2."/>
      <w:lvlJc w:val="left"/>
      <w:pPr>
        <w:ind w:left="1800" w:hanging="360"/>
      </w:pPr>
    </w:lvl>
    <w:lvl w:ilvl="2" w:tplc="A1D03E42" w:tentative="1">
      <w:start w:val="1"/>
      <w:numFmt w:val="lowerRoman"/>
      <w:lvlText w:val="%3."/>
      <w:lvlJc w:val="right"/>
      <w:pPr>
        <w:ind w:left="2520" w:hanging="180"/>
      </w:pPr>
    </w:lvl>
    <w:lvl w:ilvl="3" w:tplc="D572037A" w:tentative="1">
      <w:start w:val="1"/>
      <w:numFmt w:val="decimal"/>
      <w:lvlText w:val="%4."/>
      <w:lvlJc w:val="left"/>
      <w:pPr>
        <w:ind w:left="3240" w:hanging="360"/>
      </w:pPr>
    </w:lvl>
    <w:lvl w:ilvl="4" w:tplc="E2B60EAE" w:tentative="1">
      <w:start w:val="1"/>
      <w:numFmt w:val="lowerLetter"/>
      <w:lvlText w:val="%5."/>
      <w:lvlJc w:val="left"/>
      <w:pPr>
        <w:ind w:left="3960" w:hanging="360"/>
      </w:pPr>
    </w:lvl>
    <w:lvl w:ilvl="5" w:tplc="AC829474" w:tentative="1">
      <w:start w:val="1"/>
      <w:numFmt w:val="lowerRoman"/>
      <w:lvlText w:val="%6."/>
      <w:lvlJc w:val="right"/>
      <w:pPr>
        <w:ind w:left="4680" w:hanging="180"/>
      </w:pPr>
    </w:lvl>
    <w:lvl w:ilvl="6" w:tplc="CE065540" w:tentative="1">
      <w:start w:val="1"/>
      <w:numFmt w:val="decimal"/>
      <w:lvlText w:val="%7."/>
      <w:lvlJc w:val="left"/>
      <w:pPr>
        <w:ind w:left="5400" w:hanging="360"/>
      </w:pPr>
    </w:lvl>
    <w:lvl w:ilvl="7" w:tplc="D3FE38BE" w:tentative="1">
      <w:start w:val="1"/>
      <w:numFmt w:val="lowerLetter"/>
      <w:lvlText w:val="%8."/>
      <w:lvlJc w:val="left"/>
      <w:pPr>
        <w:ind w:left="6120" w:hanging="360"/>
      </w:pPr>
    </w:lvl>
    <w:lvl w:ilvl="8" w:tplc="1FD451B4" w:tentative="1">
      <w:start w:val="1"/>
      <w:numFmt w:val="lowerRoman"/>
      <w:lvlText w:val="%9."/>
      <w:lvlJc w:val="right"/>
      <w:pPr>
        <w:ind w:left="6840" w:hanging="180"/>
      </w:pPr>
    </w:lvl>
  </w:abstractNum>
  <w:num w:numId="1">
    <w:abstractNumId w:val="9"/>
  </w:num>
  <w:num w:numId="2">
    <w:abstractNumId w:val="4"/>
  </w:num>
  <w:num w:numId="3">
    <w:abstractNumId w:val="3"/>
  </w:num>
  <w:num w:numId="4">
    <w:abstractNumId w:val="1"/>
  </w:num>
  <w:num w:numId="5">
    <w:abstractNumId w:val="0"/>
  </w:num>
  <w:num w:numId="6">
    <w:abstractNumId w:val="2"/>
  </w:num>
  <w:num w:numId="7">
    <w:abstractNumId w:val="6"/>
  </w:num>
  <w:num w:numId="8">
    <w:abstractNumId w:val="8"/>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E0NTEyM7Q0MjMzN7RQ0lEKTi0uzszPAykwrAUAeJnDwiwAAAA="/>
  </w:docVars>
  <w:rsids>
    <w:rsidRoot w:val="00F336F8"/>
    <w:rsid w:val="0000565B"/>
    <w:rsid w:val="0000576A"/>
    <w:rsid w:val="00041EA9"/>
    <w:rsid w:val="00067AC1"/>
    <w:rsid w:val="000745AF"/>
    <w:rsid w:val="00075E04"/>
    <w:rsid w:val="0008109C"/>
    <w:rsid w:val="000C59D5"/>
    <w:rsid w:val="000F1F1E"/>
    <w:rsid w:val="000F638D"/>
    <w:rsid w:val="000F64FB"/>
    <w:rsid w:val="00115E19"/>
    <w:rsid w:val="001310A2"/>
    <w:rsid w:val="001317F5"/>
    <w:rsid w:val="00132526"/>
    <w:rsid w:val="001475C2"/>
    <w:rsid w:val="00153489"/>
    <w:rsid w:val="00163C0F"/>
    <w:rsid w:val="00191F78"/>
    <w:rsid w:val="001B1E3A"/>
    <w:rsid w:val="00213C15"/>
    <w:rsid w:val="00214108"/>
    <w:rsid w:val="00234AD4"/>
    <w:rsid w:val="00254F0D"/>
    <w:rsid w:val="002833AF"/>
    <w:rsid w:val="002838FB"/>
    <w:rsid w:val="00290915"/>
    <w:rsid w:val="002A095F"/>
    <w:rsid w:val="002A5C8D"/>
    <w:rsid w:val="002A66BD"/>
    <w:rsid w:val="002B337D"/>
    <w:rsid w:val="002C0B1B"/>
    <w:rsid w:val="002C3876"/>
    <w:rsid w:val="002D6DDC"/>
    <w:rsid w:val="002E3FC6"/>
    <w:rsid w:val="002F2410"/>
    <w:rsid w:val="002F6AB8"/>
    <w:rsid w:val="00312DDE"/>
    <w:rsid w:val="00316BB6"/>
    <w:rsid w:val="003236E5"/>
    <w:rsid w:val="00365806"/>
    <w:rsid w:val="00370369"/>
    <w:rsid w:val="00387BFC"/>
    <w:rsid w:val="00393914"/>
    <w:rsid w:val="003B4653"/>
    <w:rsid w:val="003D2843"/>
    <w:rsid w:val="003D5932"/>
    <w:rsid w:val="003F346D"/>
    <w:rsid w:val="003F735A"/>
    <w:rsid w:val="00411524"/>
    <w:rsid w:val="00425609"/>
    <w:rsid w:val="0043111F"/>
    <w:rsid w:val="004336C3"/>
    <w:rsid w:val="0044751D"/>
    <w:rsid w:val="00450B71"/>
    <w:rsid w:val="0045748C"/>
    <w:rsid w:val="004954E4"/>
    <w:rsid w:val="004A0DB8"/>
    <w:rsid w:val="004B570D"/>
    <w:rsid w:val="004C220C"/>
    <w:rsid w:val="004C3215"/>
    <w:rsid w:val="004D261B"/>
    <w:rsid w:val="004E37CC"/>
    <w:rsid w:val="004F38EA"/>
    <w:rsid w:val="004F65DD"/>
    <w:rsid w:val="004F6CB9"/>
    <w:rsid w:val="00544F88"/>
    <w:rsid w:val="00566B3A"/>
    <w:rsid w:val="00583940"/>
    <w:rsid w:val="00593227"/>
    <w:rsid w:val="00597E0C"/>
    <w:rsid w:val="005B3A4B"/>
    <w:rsid w:val="005C74FC"/>
    <w:rsid w:val="00606181"/>
    <w:rsid w:val="00623E60"/>
    <w:rsid w:val="00625726"/>
    <w:rsid w:val="0064427A"/>
    <w:rsid w:val="0065219D"/>
    <w:rsid w:val="006547E1"/>
    <w:rsid w:val="00666E4B"/>
    <w:rsid w:val="006751F6"/>
    <w:rsid w:val="00681F9E"/>
    <w:rsid w:val="00691368"/>
    <w:rsid w:val="006A029A"/>
    <w:rsid w:val="006B1BE8"/>
    <w:rsid w:val="006E02B4"/>
    <w:rsid w:val="00701C78"/>
    <w:rsid w:val="007363AB"/>
    <w:rsid w:val="007562D4"/>
    <w:rsid w:val="00760440"/>
    <w:rsid w:val="00770D4C"/>
    <w:rsid w:val="00775C71"/>
    <w:rsid w:val="007B233D"/>
    <w:rsid w:val="007C3DE9"/>
    <w:rsid w:val="007F227E"/>
    <w:rsid w:val="008030DF"/>
    <w:rsid w:val="00824833"/>
    <w:rsid w:val="00852D9C"/>
    <w:rsid w:val="008578B8"/>
    <w:rsid w:val="008608A3"/>
    <w:rsid w:val="00877897"/>
    <w:rsid w:val="008C0264"/>
    <w:rsid w:val="008F5689"/>
    <w:rsid w:val="009029A9"/>
    <w:rsid w:val="00910AA9"/>
    <w:rsid w:val="009222F2"/>
    <w:rsid w:val="00927825"/>
    <w:rsid w:val="00971D9F"/>
    <w:rsid w:val="00987ADA"/>
    <w:rsid w:val="00990844"/>
    <w:rsid w:val="009A1D0F"/>
    <w:rsid w:val="009B4550"/>
    <w:rsid w:val="00A00611"/>
    <w:rsid w:val="00A037F9"/>
    <w:rsid w:val="00A04830"/>
    <w:rsid w:val="00A05F87"/>
    <w:rsid w:val="00A13743"/>
    <w:rsid w:val="00A32FF9"/>
    <w:rsid w:val="00A6229B"/>
    <w:rsid w:val="00A63C24"/>
    <w:rsid w:val="00A83761"/>
    <w:rsid w:val="00A841C7"/>
    <w:rsid w:val="00AD428E"/>
    <w:rsid w:val="00B0246B"/>
    <w:rsid w:val="00B03C30"/>
    <w:rsid w:val="00B0635B"/>
    <w:rsid w:val="00B1669B"/>
    <w:rsid w:val="00B17E26"/>
    <w:rsid w:val="00B436D2"/>
    <w:rsid w:val="00B5134E"/>
    <w:rsid w:val="00B5533E"/>
    <w:rsid w:val="00B86267"/>
    <w:rsid w:val="00BB2B16"/>
    <w:rsid w:val="00BB70DE"/>
    <w:rsid w:val="00BC663C"/>
    <w:rsid w:val="00BD3E7C"/>
    <w:rsid w:val="00BD6D82"/>
    <w:rsid w:val="00BE146B"/>
    <w:rsid w:val="00C072F4"/>
    <w:rsid w:val="00C30643"/>
    <w:rsid w:val="00C45D57"/>
    <w:rsid w:val="00C5619C"/>
    <w:rsid w:val="00C66857"/>
    <w:rsid w:val="00C82921"/>
    <w:rsid w:val="00C84699"/>
    <w:rsid w:val="00C878C3"/>
    <w:rsid w:val="00CB1F07"/>
    <w:rsid w:val="00CC0680"/>
    <w:rsid w:val="00CF237C"/>
    <w:rsid w:val="00D07A69"/>
    <w:rsid w:val="00D17A29"/>
    <w:rsid w:val="00D266C9"/>
    <w:rsid w:val="00D52C20"/>
    <w:rsid w:val="00D542E6"/>
    <w:rsid w:val="00D83252"/>
    <w:rsid w:val="00D84906"/>
    <w:rsid w:val="00DA14D4"/>
    <w:rsid w:val="00DA3767"/>
    <w:rsid w:val="00DB60B0"/>
    <w:rsid w:val="00DD6CBF"/>
    <w:rsid w:val="00E00266"/>
    <w:rsid w:val="00E00CAC"/>
    <w:rsid w:val="00E15136"/>
    <w:rsid w:val="00E15893"/>
    <w:rsid w:val="00E723E1"/>
    <w:rsid w:val="00E80E63"/>
    <w:rsid w:val="00E85FE0"/>
    <w:rsid w:val="00E90BFD"/>
    <w:rsid w:val="00EA0A29"/>
    <w:rsid w:val="00EB7482"/>
    <w:rsid w:val="00EC403F"/>
    <w:rsid w:val="00EC7721"/>
    <w:rsid w:val="00ED23D6"/>
    <w:rsid w:val="00EF14E3"/>
    <w:rsid w:val="00EF6E55"/>
    <w:rsid w:val="00EF73C1"/>
    <w:rsid w:val="00F14E35"/>
    <w:rsid w:val="00F336F8"/>
    <w:rsid w:val="00F47062"/>
    <w:rsid w:val="00F62EF4"/>
    <w:rsid w:val="00F67189"/>
    <w:rsid w:val="00FC214D"/>
    <w:rsid w:val="00FC33BA"/>
    <w:rsid w:val="00FF20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46CE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475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4751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4751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3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735A"/>
  </w:style>
  <w:style w:type="paragraph" w:styleId="Footer">
    <w:name w:val="footer"/>
    <w:basedOn w:val="Normal"/>
    <w:link w:val="FooterChar"/>
    <w:uiPriority w:val="99"/>
    <w:unhideWhenUsed/>
    <w:rsid w:val="003F73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735A"/>
  </w:style>
  <w:style w:type="character" w:styleId="Hyperlink">
    <w:name w:val="Hyperlink"/>
    <w:basedOn w:val="DefaultParagraphFont"/>
    <w:uiPriority w:val="99"/>
    <w:unhideWhenUsed/>
    <w:rsid w:val="002A66BD"/>
    <w:rPr>
      <w:color w:val="0563C1" w:themeColor="hyperlink"/>
      <w:u w:val="single"/>
    </w:rPr>
  </w:style>
  <w:style w:type="paragraph" w:styleId="NormalWeb">
    <w:name w:val="Normal (Web)"/>
    <w:basedOn w:val="Normal"/>
    <w:uiPriority w:val="99"/>
    <w:unhideWhenUsed/>
    <w:rsid w:val="00CC068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83252"/>
    <w:pPr>
      <w:ind w:left="720"/>
      <w:contextualSpacing/>
    </w:pPr>
  </w:style>
  <w:style w:type="table" w:styleId="TableGrid">
    <w:name w:val="Table Grid"/>
    <w:basedOn w:val="TableNormal"/>
    <w:uiPriority w:val="59"/>
    <w:rsid w:val="00FF20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D07A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7A69"/>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4751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4751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44751D"/>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213C15"/>
    <w:pPr>
      <w:outlineLvl w:val="9"/>
    </w:pPr>
  </w:style>
  <w:style w:type="paragraph" w:styleId="TOC1">
    <w:name w:val="toc 1"/>
    <w:basedOn w:val="Normal"/>
    <w:next w:val="Normal"/>
    <w:autoRedefine/>
    <w:uiPriority w:val="39"/>
    <w:unhideWhenUsed/>
    <w:rsid w:val="00213C15"/>
    <w:pPr>
      <w:spacing w:after="100"/>
    </w:pPr>
  </w:style>
  <w:style w:type="paragraph" w:styleId="TOC2">
    <w:name w:val="toc 2"/>
    <w:basedOn w:val="Normal"/>
    <w:next w:val="Normal"/>
    <w:autoRedefine/>
    <w:uiPriority w:val="39"/>
    <w:unhideWhenUsed/>
    <w:rsid w:val="00213C15"/>
    <w:pPr>
      <w:spacing w:after="100"/>
      <w:ind w:left="220"/>
    </w:pPr>
  </w:style>
  <w:style w:type="paragraph" w:styleId="TOC3">
    <w:name w:val="toc 3"/>
    <w:basedOn w:val="Normal"/>
    <w:next w:val="Normal"/>
    <w:autoRedefine/>
    <w:uiPriority w:val="39"/>
    <w:unhideWhenUsed/>
    <w:rsid w:val="00213C15"/>
    <w:pPr>
      <w:spacing w:after="100"/>
      <w:ind w:left="440"/>
    </w:pPr>
  </w:style>
  <w:style w:type="character" w:styleId="CommentReference">
    <w:name w:val="annotation reference"/>
    <w:basedOn w:val="DefaultParagraphFont"/>
    <w:uiPriority w:val="99"/>
    <w:semiHidden/>
    <w:unhideWhenUsed/>
    <w:rsid w:val="000F64FB"/>
    <w:rPr>
      <w:sz w:val="16"/>
      <w:szCs w:val="16"/>
    </w:rPr>
  </w:style>
  <w:style w:type="paragraph" w:styleId="CommentText">
    <w:name w:val="annotation text"/>
    <w:basedOn w:val="Normal"/>
    <w:link w:val="CommentTextChar"/>
    <w:uiPriority w:val="99"/>
    <w:semiHidden/>
    <w:unhideWhenUsed/>
    <w:rsid w:val="000F64FB"/>
    <w:pPr>
      <w:spacing w:line="240" w:lineRule="auto"/>
    </w:pPr>
    <w:rPr>
      <w:sz w:val="20"/>
      <w:szCs w:val="20"/>
    </w:rPr>
  </w:style>
  <w:style w:type="character" w:customStyle="1" w:styleId="CommentTextChar">
    <w:name w:val="Comment Text Char"/>
    <w:basedOn w:val="DefaultParagraphFont"/>
    <w:link w:val="CommentText"/>
    <w:uiPriority w:val="99"/>
    <w:semiHidden/>
    <w:rsid w:val="000F64FB"/>
    <w:rPr>
      <w:sz w:val="20"/>
      <w:szCs w:val="20"/>
    </w:rPr>
  </w:style>
  <w:style w:type="paragraph" w:styleId="CommentSubject">
    <w:name w:val="annotation subject"/>
    <w:basedOn w:val="CommentText"/>
    <w:next w:val="CommentText"/>
    <w:link w:val="CommentSubjectChar"/>
    <w:uiPriority w:val="99"/>
    <w:semiHidden/>
    <w:unhideWhenUsed/>
    <w:rsid w:val="000F64FB"/>
    <w:rPr>
      <w:b/>
      <w:bCs/>
    </w:rPr>
  </w:style>
  <w:style w:type="character" w:customStyle="1" w:styleId="CommentSubjectChar">
    <w:name w:val="Comment Subject Char"/>
    <w:basedOn w:val="CommentTextChar"/>
    <w:link w:val="CommentSubject"/>
    <w:uiPriority w:val="99"/>
    <w:semiHidden/>
    <w:rsid w:val="000F64FB"/>
    <w:rPr>
      <w:b/>
      <w:bCs/>
      <w:sz w:val="20"/>
      <w:szCs w:val="20"/>
    </w:rPr>
  </w:style>
  <w:style w:type="paragraph" w:styleId="Revision">
    <w:name w:val="Revision"/>
    <w:hidden/>
    <w:uiPriority w:val="99"/>
    <w:semiHidden/>
    <w:rsid w:val="000F64FB"/>
    <w:pPr>
      <w:spacing w:after="0" w:line="240" w:lineRule="auto"/>
    </w:pPr>
  </w:style>
  <w:style w:type="paragraph" w:styleId="BalloonText">
    <w:name w:val="Balloon Text"/>
    <w:basedOn w:val="Normal"/>
    <w:link w:val="BalloonTextChar"/>
    <w:uiPriority w:val="99"/>
    <w:semiHidden/>
    <w:unhideWhenUsed/>
    <w:rsid w:val="000F64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64FB"/>
    <w:rPr>
      <w:rFonts w:ascii="Segoe UI" w:hAnsi="Segoe UI" w:cs="Segoe UI"/>
      <w:sz w:val="18"/>
      <w:szCs w:val="18"/>
    </w:rPr>
  </w:style>
  <w:style w:type="paragraph" w:styleId="NoSpacing">
    <w:name w:val="No Spacing"/>
    <w:uiPriority w:val="1"/>
    <w:qFormat/>
    <w:rsid w:val="00214108"/>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E4AFE2-5F9C-4091-BF27-1629B380D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1486</Words>
  <Characters>8476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2021-09-01T07:19:00Z</dcterms:created>
  <dcterms:modified xsi:type="dcterms:W3CDTF">2021-09-02T19:40:00Z</dcterms:modified>
</cp:coreProperties>
</file>